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35CC" w14:textId="332773DE" w:rsidR="00070EF6" w:rsidRPr="00675E34" w:rsidRDefault="002234FE" w:rsidP="002234FE">
      <w:pPr>
        <w:spacing w:after="0" w:line="240" w:lineRule="atLeast"/>
        <w:rPr>
          <w:rFonts w:ascii="Verdana" w:hAnsi="Verdana"/>
          <w:b/>
          <w:bCs/>
        </w:rPr>
      </w:pPr>
      <w:r w:rsidRPr="00675E34">
        <w:rPr>
          <w:rFonts w:ascii="Verdana" w:hAnsi="Verdana"/>
          <w:b/>
          <w:bCs/>
        </w:rPr>
        <w:t>Reactie LvOP op internetconsultatie Wet toekomst pensioenen</w:t>
      </w:r>
    </w:p>
    <w:p w14:paraId="0B94EA83" w14:textId="6AF5556A" w:rsidR="002234FE" w:rsidRPr="002234FE" w:rsidRDefault="002234FE" w:rsidP="002234FE">
      <w:pPr>
        <w:spacing w:after="0" w:line="240" w:lineRule="atLeast"/>
        <w:rPr>
          <w:rFonts w:ascii="Verdana" w:hAnsi="Verdana"/>
          <w:sz w:val="18"/>
          <w:szCs w:val="18"/>
        </w:rPr>
      </w:pPr>
    </w:p>
    <w:p w14:paraId="60DABBB1" w14:textId="7180ED97" w:rsidR="002234FE" w:rsidRDefault="002234FE" w:rsidP="002234FE">
      <w:pPr>
        <w:spacing w:after="0" w:line="240" w:lineRule="atLeast"/>
        <w:rPr>
          <w:rFonts w:ascii="Verdana" w:hAnsi="Verdana"/>
          <w:sz w:val="18"/>
          <w:szCs w:val="18"/>
        </w:rPr>
      </w:pPr>
      <w:r w:rsidRPr="002234FE">
        <w:rPr>
          <w:rFonts w:ascii="Verdana" w:hAnsi="Verdana"/>
          <w:sz w:val="18"/>
          <w:szCs w:val="18"/>
        </w:rPr>
        <w:t xml:space="preserve">De Lijst voor Onafhankelijk Pensioentoezicht (LvOP), een onafhankelijk fractie </w:t>
      </w:r>
      <w:r w:rsidR="005308CB">
        <w:rPr>
          <w:rFonts w:ascii="Verdana" w:hAnsi="Verdana"/>
          <w:sz w:val="18"/>
          <w:szCs w:val="18"/>
        </w:rPr>
        <w:t>–</w:t>
      </w:r>
      <w:r w:rsidRPr="002234FE">
        <w:rPr>
          <w:rFonts w:ascii="Verdana" w:hAnsi="Verdana"/>
          <w:sz w:val="18"/>
          <w:szCs w:val="18"/>
        </w:rPr>
        <w:t xml:space="preserve"> niet</w:t>
      </w:r>
      <w:r w:rsidR="005308CB">
        <w:rPr>
          <w:rFonts w:ascii="Verdana" w:hAnsi="Verdana"/>
          <w:sz w:val="18"/>
          <w:szCs w:val="18"/>
        </w:rPr>
        <w:t xml:space="preserve"> </w:t>
      </w:r>
      <w:r w:rsidRPr="002234FE">
        <w:rPr>
          <w:rFonts w:ascii="Verdana" w:hAnsi="Verdana"/>
          <w:sz w:val="18"/>
          <w:szCs w:val="18"/>
        </w:rPr>
        <w:t xml:space="preserve">gelieerd aan een vakbond </w:t>
      </w:r>
      <w:r w:rsidR="005308CB">
        <w:rPr>
          <w:rFonts w:ascii="Verdana" w:hAnsi="Verdana"/>
          <w:sz w:val="18"/>
          <w:szCs w:val="18"/>
        </w:rPr>
        <w:t>–</w:t>
      </w:r>
      <w:r w:rsidRPr="002234FE">
        <w:rPr>
          <w:rFonts w:ascii="Verdana" w:hAnsi="Verdana"/>
          <w:sz w:val="18"/>
          <w:szCs w:val="18"/>
        </w:rPr>
        <w:t xml:space="preserve"> in</w:t>
      </w:r>
      <w:r w:rsidR="005308CB">
        <w:rPr>
          <w:rFonts w:ascii="Verdana" w:hAnsi="Verdana"/>
          <w:sz w:val="18"/>
          <w:szCs w:val="18"/>
        </w:rPr>
        <w:t xml:space="preserve"> </w:t>
      </w:r>
      <w:r w:rsidRPr="002234FE">
        <w:rPr>
          <w:rFonts w:ascii="Verdana" w:hAnsi="Verdana"/>
          <w:sz w:val="18"/>
          <w:szCs w:val="18"/>
        </w:rPr>
        <w:t xml:space="preserve">het verantwoordingsorgaan van pensioenfonds ABP, heeft met belangstelling kennisgenomen van </w:t>
      </w:r>
      <w:r>
        <w:rPr>
          <w:rFonts w:ascii="Verdana" w:hAnsi="Verdana"/>
          <w:sz w:val="18"/>
          <w:szCs w:val="18"/>
        </w:rPr>
        <w:t>het wetsvoorstel Wet toekomst pensioenen</w:t>
      </w:r>
      <w:r w:rsidR="001D6AD3">
        <w:rPr>
          <w:rFonts w:ascii="Verdana" w:hAnsi="Verdana"/>
          <w:sz w:val="18"/>
          <w:szCs w:val="18"/>
        </w:rPr>
        <w:t xml:space="preserve"> en heeft een commissie gevormd om dit wetsvoorstel te beoordelen</w:t>
      </w:r>
      <w:r w:rsidRPr="002234FE">
        <w:rPr>
          <w:rFonts w:ascii="Verdana" w:hAnsi="Verdana"/>
          <w:sz w:val="18"/>
          <w:szCs w:val="18"/>
        </w:rPr>
        <w:t>.</w:t>
      </w:r>
      <w:r>
        <w:rPr>
          <w:rFonts w:ascii="Verdana" w:hAnsi="Verdana"/>
          <w:sz w:val="18"/>
          <w:szCs w:val="18"/>
        </w:rPr>
        <w:t xml:space="preserve"> De</w:t>
      </w:r>
      <w:r w:rsidR="001D6AD3">
        <w:rPr>
          <w:rFonts w:ascii="Verdana" w:hAnsi="Verdana"/>
          <w:sz w:val="18"/>
          <w:szCs w:val="18"/>
        </w:rPr>
        <w:t>ze</w:t>
      </w:r>
      <w:r>
        <w:rPr>
          <w:rFonts w:ascii="Verdana" w:hAnsi="Verdana"/>
          <w:sz w:val="18"/>
          <w:szCs w:val="18"/>
        </w:rPr>
        <w:t xml:space="preserve"> LvOP-</w:t>
      </w:r>
      <w:r w:rsidR="001D6AD3">
        <w:rPr>
          <w:rFonts w:ascii="Verdana" w:hAnsi="Verdana"/>
          <w:sz w:val="18"/>
          <w:szCs w:val="18"/>
        </w:rPr>
        <w:t>commissie</w:t>
      </w:r>
      <w:r w:rsidR="001D6AD3">
        <w:rPr>
          <w:rFonts w:ascii="Verdana" w:hAnsi="Verdana"/>
          <w:sz w:val="18"/>
          <w:szCs w:val="18"/>
        </w:rPr>
        <w:t xml:space="preserve"> </w:t>
      </w:r>
      <w:r>
        <w:rPr>
          <w:rFonts w:ascii="Verdana" w:hAnsi="Verdana"/>
          <w:sz w:val="18"/>
          <w:szCs w:val="18"/>
        </w:rPr>
        <w:t>maakt graag van deze gelegenheid gebruik om enkele observaties en opmerkingen bij het wetsvoorstel te delen.</w:t>
      </w:r>
      <w:r w:rsidR="0060610A">
        <w:rPr>
          <w:rFonts w:ascii="Verdana" w:hAnsi="Verdana"/>
          <w:sz w:val="18"/>
          <w:szCs w:val="18"/>
        </w:rPr>
        <w:t xml:space="preserve"> </w:t>
      </w:r>
      <w:r w:rsidR="0060610A" w:rsidRPr="0060610A">
        <w:rPr>
          <w:rFonts w:ascii="Verdana" w:hAnsi="Verdana"/>
          <w:sz w:val="18"/>
          <w:szCs w:val="18"/>
        </w:rPr>
        <w:t>Onze inbreng is vooral ingegeven vanuit onze kennis en ervaring de afgelopen jar</w:t>
      </w:r>
      <w:r w:rsidR="0060610A">
        <w:rPr>
          <w:rFonts w:ascii="Verdana" w:hAnsi="Verdana"/>
          <w:sz w:val="18"/>
          <w:szCs w:val="18"/>
        </w:rPr>
        <w:t>en</w:t>
      </w:r>
      <w:r w:rsidR="0060610A" w:rsidRPr="0060610A">
        <w:rPr>
          <w:rFonts w:ascii="Verdana" w:hAnsi="Verdana"/>
          <w:sz w:val="18"/>
          <w:szCs w:val="18"/>
        </w:rPr>
        <w:t xml:space="preserve"> in het Verantwoordingsorgaan bij </w:t>
      </w:r>
      <w:r w:rsidR="007E1341">
        <w:rPr>
          <w:rFonts w:ascii="Verdana" w:hAnsi="Verdana"/>
          <w:sz w:val="18"/>
          <w:szCs w:val="18"/>
        </w:rPr>
        <w:t xml:space="preserve">het </w:t>
      </w:r>
      <w:r w:rsidR="0060610A" w:rsidRPr="0060610A">
        <w:rPr>
          <w:rFonts w:ascii="Verdana" w:hAnsi="Verdana"/>
          <w:sz w:val="18"/>
          <w:szCs w:val="18"/>
        </w:rPr>
        <w:t xml:space="preserve">ABP, en geschreven met </w:t>
      </w:r>
      <w:r w:rsidR="00353FB6">
        <w:rPr>
          <w:rFonts w:ascii="Verdana" w:hAnsi="Verdana"/>
          <w:sz w:val="18"/>
          <w:szCs w:val="18"/>
        </w:rPr>
        <w:t>(</w:t>
      </w:r>
      <w:r w:rsidR="0060610A" w:rsidRPr="0060610A">
        <w:rPr>
          <w:rFonts w:ascii="Verdana" w:hAnsi="Verdana"/>
          <w:sz w:val="18"/>
          <w:szCs w:val="18"/>
        </w:rPr>
        <w:t>paritair bestuurde</w:t>
      </w:r>
      <w:r w:rsidR="00353FB6">
        <w:rPr>
          <w:rFonts w:ascii="Verdana" w:hAnsi="Verdana"/>
          <w:sz w:val="18"/>
          <w:szCs w:val="18"/>
        </w:rPr>
        <w:t xml:space="preserve"> </w:t>
      </w:r>
      <w:r w:rsidR="0060610A" w:rsidRPr="0060610A">
        <w:rPr>
          <w:rFonts w:ascii="Verdana" w:hAnsi="Verdana"/>
          <w:sz w:val="18"/>
          <w:szCs w:val="18"/>
        </w:rPr>
        <w:t>bedrijfstak)pensioenfondsen</w:t>
      </w:r>
      <w:r w:rsidR="0060610A">
        <w:rPr>
          <w:rFonts w:ascii="Verdana" w:hAnsi="Verdana"/>
          <w:sz w:val="18"/>
          <w:szCs w:val="18"/>
        </w:rPr>
        <w:t xml:space="preserve"> </w:t>
      </w:r>
      <w:r w:rsidR="0060610A" w:rsidRPr="0060610A">
        <w:rPr>
          <w:rFonts w:ascii="Verdana" w:hAnsi="Verdana"/>
          <w:sz w:val="18"/>
          <w:szCs w:val="18"/>
        </w:rPr>
        <w:t>in het algemeen in het achterhoofd.</w:t>
      </w:r>
    </w:p>
    <w:p w14:paraId="63A2307B" w14:textId="602AC3AF" w:rsidR="002234FE" w:rsidRDefault="002234FE" w:rsidP="002234FE">
      <w:pPr>
        <w:spacing w:after="0" w:line="240" w:lineRule="atLeast"/>
        <w:rPr>
          <w:rFonts w:ascii="Verdana" w:hAnsi="Verdana"/>
          <w:sz w:val="18"/>
          <w:szCs w:val="18"/>
        </w:rPr>
      </w:pPr>
    </w:p>
    <w:p w14:paraId="63A20B15" w14:textId="5F565793" w:rsidR="002234FE" w:rsidRDefault="002234FE" w:rsidP="002234FE">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onderkent de noodzaak tot herziening van het pensioenstelsel. Het huidige pensioencontract is niet langer houdbaar. Reeds lang is duidelijk dat de gedane toezeggingen </w:t>
      </w:r>
      <w:r w:rsidR="0060610A">
        <w:rPr>
          <w:rFonts w:ascii="Verdana" w:hAnsi="Verdana"/>
          <w:sz w:val="18"/>
          <w:szCs w:val="18"/>
        </w:rPr>
        <w:t xml:space="preserve">in veel gevallen </w:t>
      </w:r>
      <w:r>
        <w:rPr>
          <w:rFonts w:ascii="Verdana" w:hAnsi="Verdana"/>
          <w:sz w:val="18"/>
          <w:szCs w:val="18"/>
        </w:rPr>
        <w:t xml:space="preserve">niet </w:t>
      </w:r>
      <w:r w:rsidR="0060610A">
        <w:rPr>
          <w:rFonts w:ascii="Verdana" w:hAnsi="Verdana"/>
          <w:sz w:val="18"/>
          <w:szCs w:val="18"/>
        </w:rPr>
        <w:t>(</w:t>
      </w:r>
      <w:r>
        <w:rPr>
          <w:rFonts w:ascii="Verdana" w:hAnsi="Verdana"/>
          <w:sz w:val="18"/>
          <w:szCs w:val="18"/>
        </w:rPr>
        <w:t>kunnen</w:t>
      </w:r>
      <w:r w:rsidR="0060610A">
        <w:rPr>
          <w:rFonts w:ascii="Verdana" w:hAnsi="Verdana"/>
          <w:sz w:val="18"/>
          <w:szCs w:val="18"/>
        </w:rPr>
        <w:t>)</w:t>
      </w:r>
      <w:r>
        <w:rPr>
          <w:rFonts w:ascii="Verdana" w:hAnsi="Verdana"/>
          <w:sz w:val="18"/>
          <w:szCs w:val="18"/>
        </w:rPr>
        <w:t xml:space="preserve"> worden waargemaakt. De opgebouwde pensioenen en reeds ingegane uitkeringen zijn al lang niet meer geïndexeerd en al jaren hangt de dreiging van kortingen boven de markt. Deze dreiging wordt echter telkens niet waargemaakt, onder invloed van politieke druk. Ook de toezegging wordt niet naar beneden bijgesteld, waardoor slecht</w:t>
      </w:r>
      <w:r w:rsidR="005308CB">
        <w:rPr>
          <w:rFonts w:ascii="Verdana" w:hAnsi="Verdana"/>
          <w:sz w:val="18"/>
          <w:szCs w:val="18"/>
        </w:rPr>
        <w:t>s</w:t>
      </w:r>
      <w:r>
        <w:rPr>
          <w:rFonts w:ascii="Verdana" w:hAnsi="Verdana"/>
          <w:sz w:val="18"/>
          <w:szCs w:val="18"/>
        </w:rPr>
        <w:t xml:space="preserve"> aan de – botte – knop van de premie wordt gedraaid</w:t>
      </w:r>
      <w:r w:rsidR="0060610A">
        <w:rPr>
          <w:rFonts w:ascii="Verdana" w:hAnsi="Verdana"/>
          <w:sz w:val="18"/>
          <w:szCs w:val="18"/>
        </w:rPr>
        <w:t xml:space="preserve"> (gegeven het door bestuurders gekozen risicoprofiel)</w:t>
      </w:r>
      <w:r>
        <w:rPr>
          <w:rFonts w:ascii="Verdana" w:hAnsi="Verdana"/>
          <w:sz w:val="18"/>
          <w:szCs w:val="18"/>
        </w:rPr>
        <w:t>. Dit is een situatie die bepaald onevenwichtig ten nadele van de actieve deelnemers uitvalt. De LvOP-</w:t>
      </w:r>
      <w:r w:rsidR="001D6AD3">
        <w:rPr>
          <w:rFonts w:ascii="Verdana" w:hAnsi="Verdana"/>
          <w:sz w:val="18"/>
          <w:szCs w:val="18"/>
        </w:rPr>
        <w:t>commissie</w:t>
      </w:r>
      <w:r>
        <w:rPr>
          <w:rFonts w:ascii="Verdana" w:hAnsi="Verdana"/>
          <w:sz w:val="18"/>
          <w:szCs w:val="18"/>
        </w:rPr>
        <w:t xml:space="preserve"> is daarom blij dat er in het nieuwe contract geen onhoudbare toezeggingen</w:t>
      </w:r>
      <w:r w:rsidR="005308CB">
        <w:rPr>
          <w:rFonts w:ascii="Verdana" w:hAnsi="Verdana"/>
          <w:sz w:val="18"/>
          <w:szCs w:val="18"/>
        </w:rPr>
        <w:t xml:space="preserve"> meer</w:t>
      </w:r>
      <w:r>
        <w:rPr>
          <w:rFonts w:ascii="Verdana" w:hAnsi="Verdana"/>
          <w:sz w:val="18"/>
          <w:szCs w:val="18"/>
        </w:rPr>
        <w:t xml:space="preserve"> worden gedaan.</w:t>
      </w:r>
    </w:p>
    <w:p w14:paraId="61709888" w14:textId="379873D8" w:rsidR="002234FE" w:rsidRDefault="002234FE" w:rsidP="002234FE">
      <w:pPr>
        <w:spacing w:after="0" w:line="240" w:lineRule="atLeast"/>
        <w:rPr>
          <w:rFonts w:ascii="Verdana" w:hAnsi="Verdana"/>
          <w:sz w:val="18"/>
          <w:szCs w:val="18"/>
        </w:rPr>
      </w:pPr>
    </w:p>
    <w:p w14:paraId="6EA10885" w14:textId="0E6A84A3" w:rsidR="002234FE" w:rsidRDefault="002234FE" w:rsidP="002234FE">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heeft echter wel enkele zorgen</w:t>
      </w:r>
      <w:r w:rsidR="00644AD0">
        <w:rPr>
          <w:rFonts w:ascii="Verdana" w:hAnsi="Verdana"/>
          <w:sz w:val="18"/>
          <w:szCs w:val="18"/>
        </w:rPr>
        <w:t xml:space="preserve"> en opmerkingen</w:t>
      </w:r>
      <w:r>
        <w:rPr>
          <w:rFonts w:ascii="Verdana" w:hAnsi="Verdana"/>
          <w:sz w:val="18"/>
          <w:szCs w:val="18"/>
        </w:rPr>
        <w:t xml:space="preserve"> bij het wetsvoorstel, die zij via deze reactie op de internetconsultatie in wil brengen. </w:t>
      </w:r>
    </w:p>
    <w:p w14:paraId="67C9583B" w14:textId="564B4E32" w:rsidR="002234FE" w:rsidRDefault="002234FE" w:rsidP="002234FE">
      <w:pPr>
        <w:spacing w:after="0" w:line="240" w:lineRule="atLeast"/>
        <w:rPr>
          <w:rFonts w:ascii="Verdana" w:hAnsi="Verdana"/>
          <w:sz w:val="18"/>
          <w:szCs w:val="18"/>
        </w:rPr>
      </w:pPr>
    </w:p>
    <w:p w14:paraId="2203BDE4" w14:textId="5BF65507" w:rsidR="00A443AD" w:rsidRPr="00A443AD" w:rsidRDefault="00A443AD" w:rsidP="002234FE">
      <w:pPr>
        <w:spacing w:after="0" w:line="240" w:lineRule="atLeast"/>
        <w:rPr>
          <w:rFonts w:ascii="Verdana" w:hAnsi="Verdana"/>
          <w:b/>
          <w:bCs/>
          <w:sz w:val="18"/>
          <w:szCs w:val="18"/>
        </w:rPr>
      </w:pPr>
      <w:r w:rsidRPr="00A443AD">
        <w:rPr>
          <w:rFonts w:ascii="Verdana" w:hAnsi="Verdana"/>
          <w:b/>
          <w:bCs/>
          <w:sz w:val="18"/>
          <w:szCs w:val="18"/>
        </w:rPr>
        <w:t>Individueel bezwaarrecht</w:t>
      </w:r>
    </w:p>
    <w:p w14:paraId="2EBD0ACD" w14:textId="6C3A334E" w:rsidR="00644AD0" w:rsidRDefault="00644AD0" w:rsidP="002234FE">
      <w:pPr>
        <w:spacing w:after="0" w:line="240" w:lineRule="atLeast"/>
        <w:rPr>
          <w:rFonts w:ascii="Verdana" w:hAnsi="Verdana"/>
          <w:sz w:val="18"/>
          <w:szCs w:val="18"/>
        </w:rPr>
      </w:pPr>
      <w:r>
        <w:rPr>
          <w:rFonts w:ascii="Verdana" w:hAnsi="Verdana"/>
          <w:sz w:val="18"/>
          <w:szCs w:val="18"/>
        </w:rPr>
        <w:t>Ten eerste maakt de LvOP-</w:t>
      </w:r>
      <w:r w:rsidR="001D6AD3">
        <w:rPr>
          <w:rFonts w:ascii="Verdana" w:hAnsi="Verdana"/>
          <w:sz w:val="18"/>
          <w:szCs w:val="18"/>
        </w:rPr>
        <w:t>commissie</w:t>
      </w:r>
      <w:r>
        <w:rPr>
          <w:rFonts w:ascii="Verdana" w:hAnsi="Verdana"/>
          <w:sz w:val="18"/>
          <w:szCs w:val="18"/>
        </w:rPr>
        <w:t xml:space="preserve"> zich zorgen over het schrappen van het individuele bezwaarrecht met betrekking tot het invaren. De memorie van toelichting (Mvt) bij het wetsvoorstel betoogt op p73</w:t>
      </w:r>
      <w:r w:rsidR="005308CB">
        <w:rPr>
          <w:rFonts w:ascii="Verdana" w:hAnsi="Verdana"/>
          <w:sz w:val="18"/>
          <w:szCs w:val="18"/>
        </w:rPr>
        <w:t xml:space="preserve"> het volgende:</w:t>
      </w:r>
      <w:r>
        <w:rPr>
          <w:rFonts w:ascii="Verdana" w:hAnsi="Verdana"/>
          <w:sz w:val="18"/>
          <w:szCs w:val="18"/>
        </w:rPr>
        <w:t xml:space="preserve"> “Collectieve vertegenwoordiging door sociale partners, of de werkgever, in samenspraak met het pensioenfonds, biedt dan goede waarborgen voor het vervallen van het individuele bezwaarrecht. Mocht een individu overigens van mening zijn dat hij een onevenredig zwaar nadeel ondervindt van de omzetting, dan staat uiteraard de gang naar de rechter voor hem open.” Deze stellingname is gestoeld op de aanname dat sociale partners een goede afspiegeling van de belangen van </w:t>
      </w:r>
      <w:r>
        <w:rPr>
          <w:rFonts w:ascii="Verdana" w:hAnsi="Verdana"/>
          <w:i/>
          <w:iCs/>
          <w:sz w:val="18"/>
          <w:szCs w:val="18"/>
        </w:rPr>
        <w:t>alle</w:t>
      </w:r>
      <w:r>
        <w:rPr>
          <w:rFonts w:ascii="Verdana" w:hAnsi="Verdana"/>
          <w:sz w:val="18"/>
          <w:szCs w:val="18"/>
        </w:rPr>
        <w:t xml:space="preserve"> deelnemers vormen. De LvOP-</w:t>
      </w:r>
      <w:r w:rsidR="001D6AD3">
        <w:rPr>
          <w:rFonts w:ascii="Verdana" w:hAnsi="Verdana"/>
          <w:sz w:val="18"/>
          <w:szCs w:val="18"/>
        </w:rPr>
        <w:t>commissie</w:t>
      </w:r>
      <w:r>
        <w:rPr>
          <w:rFonts w:ascii="Verdana" w:hAnsi="Verdana"/>
          <w:sz w:val="18"/>
          <w:szCs w:val="18"/>
        </w:rPr>
        <w:t xml:space="preserve"> bestrijdt dit. </w:t>
      </w:r>
    </w:p>
    <w:p w14:paraId="32FB68B1" w14:textId="71EC25AA" w:rsidR="00A443AD" w:rsidRDefault="00A443AD" w:rsidP="002234FE">
      <w:pPr>
        <w:spacing w:after="0" w:line="240" w:lineRule="atLeast"/>
        <w:rPr>
          <w:rFonts w:ascii="Verdana" w:hAnsi="Verdana"/>
          <w:sz w:val="18"/>
          <w:szCs w:val="18"/>
        </w:rPr>
      </w:pPr>
    </w:p>
    <w:p w14:paraId="65FEEC01" w14:textId="0FCF2F86" w:rsidR="0060610A" w:rsidRDefault="00A443AD" w:rsidP="0060610A">
      <w:pPr>
        <w:spacing w:after="0" w:line="240" w:lineRule="atLeast"/>
        <w:rPr>
          <w:rFonts w:ascii="Verdana" w:hAnsi="Verdana"/>
          <w:sz w:val="18"/>
          <w:szCs w:val="18"/>
        </w:rPr>
      </w:pPr>
      <w:r>
        <w:rPr>
          <w:rFonts w:ascii="Verdana" w:hAnsi="Verdana"/>
          <w:sz w:val="18"/>
          <w:szCs w:val="18"/>
        </w:rPr>
        <w:t xml:space="preserve">De meest recente CBS-cijfers (over 2019) laten zien dat slechts 1,6 mln Nederlanders lid zijn van een vakbond. Demografisch gezien zijn ouderen en mannen binnen deze groep vakbondsleden oververtegenwoordigd. Het is dus in geen geval zo dat de sociale partners de belangen van </w:t>
      </w:r>
      <w:r>
        <w:rPr>
          <w:rFonts w:ascii="Verdana" w:hAnsi="Verdana"/>
          <w:i/>
          <w:iCs/>
          <w:sz w:val="18"/>
          <w:szCs w:val="18"/>
        </w:rPr>
        <w:t>alle</w:t>
      </w:r>
      <w:r>
        <w:rPr>
          <w:rFonts w:ascii="Verdana" w:hAnsi="Verdana"/>
          <w:sz w:val="18"/>
          <w:szCs w:val="18"/>
        </w:rPr>
        <w:t xml:space="preserve"> deelnemers vertegenwoordigen. De LvOP-</w:t>
      </w:r>
      <w:r w:rsidR="001D6AD3">
        <w:rPr>
          <w:rFonts w:ascii="Verdana" w:hAnsi="Verdana"/>
          <w:sz w:val="18"/>
          <w:szCs w:val="18"/>
        </w:rPr>
        <w:t>commissie</w:t>
      </w:r>
      <w:r>
        <w:rPr>
          <w:rFonts w:ascii="Verdana" w:hAnsi="Verdana"/>
          <w:sz w:val="18"/>
          <w:szCs w:val="18"/>
        </w:rPr>
        <w:t xml:space="preserve"> acht het daarom onwenselijk sociale partners als afdoende mechanisme voor belangenvertegenwoordiging te beschouwen</w:t>
      </w:r>
      <w:r w:rsidR="00FC2AAA">
        <w:rPr>
          <w:rFonts w:ascii="Verdana" w:hAnsi="Verdana"/>
          <w:sz w:val="18"/>
          <w:szCs w:val="18"/>
        </w:rPr>
        <w:t xml:space="preserve"> (zie ook hierna onder Governance</w:t>
      </w:r>
      <w:r w:rsidR="00A73FA0">
        <w:rPr>
          <w:rFonts w:ascii="Verdana" w:hAnsi="Verdana"/>
          <w:sz w:val="18"/>
          <w:szCs w:val="18"/>
        </w:rPr>
        <w:t xml:space="preserve"> en zeggenschap</w:t>
      </w:r>
      <w:r w:rsidR="00FC2AAA">
        <w:rPr>
          <w:rFonts w:ascii="Verdana" w:hAnsi="Verdana"/>
          <w:sz w:val="18"/>
          <w:szCs w:val="18"/>
        </w:rPr>
        <w:t>)</w:t>
      </w:r>
      <w:r>
        <w:rPr>
          <w:rFonts w:ascii="Verdana" w:hAnsi="Verdana"/>
          <w:sz w:val="18"/>
          <w:szCs w:val="18"/>
        </w:rPr>
        <w:t>. Individuele rechtsgang is een zwaar, en voor velen</w:t>
      </w:r>
      <w:r w:rsidR="0060610A">
        <w:rPr>
          <w:rFonts w:ascii="Verdana" w:hAnsi="Verdana"/>
          <w:sz w:val="18"/>
          <w:szCs w:val="18"/>
        </w:rPr>
        <w:t>,</w:t>
      </w:r>
      <w:r>
        <w:rPr>
          <w:rFonts w:ascii="Verdana" w:hAnsi="Verdana"/>
          <w:sz w:val="18"/>
          <w:szCs w:val="18"/>
        </w:rPr>
        <w:t xml:space="preserve"> niet realistisch, middel om hun stem te laten horen indien zij zich benadeeld weten door het invaren. </w:t>
      </w:r>
    </w:p>
    <w:p w14:paraId="3D02681A" w14:textId="77777777" w:rsidR="0060610A" w:rsidRDefault="0060610A" w:rsidP="0060610A">
      <w:pPr>
        <w:spacing w:after="0" w:line="240" w:lineRule="atLeast"/>
        <w:rPr>
          <w:rFonts w:ascii="Verdana" w:hAnsi="Verdana"/>
          <w:sz w:val="18"/>
          <w:szCs w:val="18"/>
        </w:rPr>
      </w:pPr>
    </w:p>
    <w:p w14:paraId="1C375799" w14:textId="6FB70036" w:rsidR="0060610A" w:rsidRDefault="0060610A" w:rsidP="002234FE">
      <w:pPr>
        <w:spacing w:after="0" w:line="240" w:lineRule="atLeast"/>
        <w:rPr>
          <w:rFonts w:ascii="Verdana" w:hAnsi="Verdana"/>
          <w:sz w:val="18"/>
          <w:szCs w:val="18"/>
        </w:rPr>
      </w:pPr>
      <w:r>
        <w:rPr>
          <w:rFonts w:ascii="Verdana" w:hAnsi="Verdana"/>
          <w:sz w:val="18"/>
          <w:szCs w:val="18"/>
        </w:rPr>
        <w:t xml:space="preserve">Wij merken op dat het voorliggende conceptwetsvoorstel niet strookt met hetgeen is overeengekomen in (de uitwerking van) </w:t>
      </w:r>
      <w:r w:rsidRPr="0060610A">
        <w:rPr>
          <w:rFonts w:ascii="Verdana" w:hAnsi="Verdana"/>
          <w:sz w:val="18"/>
          <w:szCs w:val="18"/>
        </w:rPr>
        <w:t>het Pensioenakkoord</w:t>
      </w:r>
      <w:r>
        <w:rPr>
          <w:rFonts w:ascii="Verdana" w:hAnsi="Verdana"/>
          <w:sz w:val="18"/>
          <w:szCs w:val="18"/>
        </w:rPr>
        <w:t>. In de hoofdlijnennotitie uitwerking pensioenakkoord (22 juni 2020) staat op p25: ‘</w:t>
      </w:r>
      <w:r w:rsidRPr="0060610A">
        <w:rPr>
          <w:rFonts w:ascii="Verdana" w:hAnsi="Verdana"/>
          <w:sz w:val="18"/>
          <w:szCs w:val="18"/>
        </w:rPr>
        <w:t xml:space="preserve">Specifiek in het kader van de overstap naar een nieuw pensioencontract en voor de duur van de transitie, krijgen deelnemers en gepensioneerden via een </w:t>
      </w:r>
      <w:r w:rsidRPr="00854C49">
        <w:rPr>
          <w:rFonts w:ascii="Verdana" w:hAnsi="Verdana"/>
          <w:i/>
          <w:iCs/>
          <w:sz w:val="18"/>
          <w:szCs w:val="18"/>
        </w:rPr>
        <w:t>versterkt collectief bezwaarrecht</w:t>
      </w:r>
      <w:r w:rsidRPr="0060610A">
        <w:rPr>
          <w:rFonts w:ascii="Verdana" w:hAnsi="Verdana"/>
          <w:sz w:val="18"/>
          <w:szCs w:val="18"/>
        </w:rPr>
        <w:t xml:space="preserve"> voor het verantwoordingsorgaan of het belanghebbendenorgaan van het pensioenfonds inspraak op het invaarbesluit.</w:t>
      </w:r>
      <w:r>
        <w:rPr>
          <w:rFonts w:ascii="Verdana" w:hAnsi="Verdana"/>
          <w:sz w:val="18"/>
          <w:szCs w:val="18"/>
        </w:rPr>
        <w:t>’ (cursivering, LvOP).</w:t>
      </w:r>
      <w:r w:rsidRPr="0060610A">
        <w:t xml:space="preserve"> </w:t>
      </w:r>
      <w:r>
        <w:rPr>
          <w:rFonts w:ascii="Verdana" w:hAnsi="Verdana"/>
          <w:sz w:val="18"/>
          <w:szCs w:val="18"/>
        </w:rPr>
        <w:t xml:space="preserve">Nu </w:t>
      </w:r>
      <w:r w:rsidRPr="0060610A">
        <w:rPr>
          <w:rFonts w:ascii="Verdana" w:hAnsi="Verdana"/>
          <w:sz w:val="18"/>
          <w:szCs w:val="18"/>
        </w:rPr>
        <w:t>blijkt het</w:t>
      </w:r>
      <w:r>
        <w:rPr>
          <w:rFonts w:ascii="Verdana" w:hAnsi="Verdana"/>
          <w:sz w:val="18"/>
          <w:szCs w:val="18"/>
        </w:rPr>
        <w:t xml:space="preserve"> </w:t>
      </w:r>
      <w:r w:rsidRPr="0060610A">
        <w:rPr>
          <w:rFonts w:ascii="Verdana" w:hAnsi="Verdana"/>
          <w:sz w:val="18"/>
          <w:szCs w:val="18"/>
        </w:rPr>
        <w:t xml:space="preserve">versterkte collectieve bezwaarrecht het </w:t>
      </w:r>
      <w:r w:rsidRPr="00854C49">
        <w:rPr>
          <w:rFonts w:ascii="Verdana" w:hAnsi="Verdana"/>
          <w:i/>
          <w:iCs/>
          <w:sz w:val="18"/>
          <w:szCs w:val="18"/>
        </w:rPr>
        <w:t>reguliere advies- en beroepsrecht</w:t>
      </w:r>
      <w:r w:rsidRPr="0060610A">
        <w:rPr>
          <w:rFonts w:ascii="Verdana" w:hAnsi="Verdana"/>
          <w:sz w:val="18"/>
          <w:szCs w:val="18"/>
        </w:rPr>
        <w:t xml:space="preserve"> van het verantwoordingsorgaan</w:t>
      </w:r>
      <w:r>
        <w:rPr>
          <w:rFonts w:ascii="Verdana" w:hAnsi="Verdana"/>
          <w:sz w:val="18"/>
          <w:szCs w:val="18"/>
        </w:rPr>
        <w:t xml:space="preserve"> </w:t>
      </w:r>
      <w:r w:rsidRPr="0060610A">
        <w:rPr>
          <w:rFonts w:ascii="Verdana" w:hAnsi="Verdana"/>
          <w:sz w:val="18"/>
          <w:szCs w:val="18"/>
        </w:rPr>
        <w:t xml:space="preserve">te zijn. </w:t>
      </w:r>
      <w:r>
        <w:rPr>
          <w:rFonts w:ascii="Verdana" w:hAnsi="Verdana"/>
          <w:sz w:val="18"/>
          <w:szCs w:val="18"/>
        </w:rPr>
        <w:t>Wij delen de visie van prof. Heemskerk dat h</w:t>
      </w:r>
      <w:r w:rsidRPr="0060610A">
        <w:rPr>
          <w:rFonts w:ascii="Verdana" w:hAnsi="Verdana"/>
          <w:sz w:val="18"/>
          <w:szCs w:val="18"/>
        </w:rPr>
        <w:t xml:space="preserve">et </w:t>
      </w:r>
      <w:bookmarkStart w:id="0" w:name="_Hlk63177616"/>
      <w:r w:rsidRPr="0060610A">
        <w:rPr>
          <w:rFonts w:ascii="Verdana" w:hAnsi="Verdana"/>
          <w:sz w:val="18"/>
          <w:szCs w:val="18"/>
        </w:rPr>
        <w:t xml:space="preserve">keiharde vetorecht </w:t>
      </w:r>
      <w:r>
        <w:rPr>
          <w:rFonts w:ascii="Verdana" w:hAnsi="Verdana"/>
          <w:sz w:val="18"/>
          <w:szCs w:val="18"/>
        </w:rPr>
        <w:t>hiermee ‘</w:t>
      </w:r>
      <w:r w:rsidRPr="0060610A">
        <w:rPr>
          <w:rFonts w:ascii="Verdana" w:hAnsi="Verdana"/>
          <w:sz w:val="18"/>
          <w:szCs w:val="18"/>
        </w:rPr>
        <w:t>is uitgekleed</w:t>
      </w:r>
      <w:r>
        <w:rPr>
          <w:rFonts w:ascii="Verdana" w:hAnsi="Verdana"/>
          <w:sz w:val="18"/>
          <w:szCs w:val="18"/>
        </w:rPr>
        <w:t xml:space="preserve"> </w:t>
      </w:r>
      <w:r w:rsidRPr="0060610A">
        <w:rPr>
          <w:rFonts w:ascii="Verdana" w:hAnsi="Verdana"/>
          <w:sz w:val="18"/>
          <w:szCs w:val="18"/>
        </w:rPr>
        <w:t>tot een marginale toets door het</w:t>
      </w:r>
      <w:r>
        <w:rPr>
          <w:rFonts w:ascii="Verdana" w:hAnsi="Verdana"/>
          <w:sz w:val="18"/>
          <w:szCs w:val="18"/>
        </w:rPr>
        <w:t xml:space="preserve"> </w:t>
      </w:r>
      <w:r w:rsidRPr="0060610A">
        <w:rPr>
          <w:rFonts w:ascii="Verdana" w:hAnsi="Verdana"/>
          <w:sz w:val="18"/>
          <w:szCs w:val="18"/>
        </w:rPr>
        <w:t>verantwoordingsorgaan</w:t>
      </w:r>
      <w:bookmarkEnd w:id="0"/>
      <w:r>
        <w:rPr>
          <w:rFonts w:ascii="Verdana" w:hAnsi="Verdana"/>
          <w:sz w:val="18"/>
          <w:szCs w:val="18"/>
        </w:rPr>
        <w:t>’.</w:t>
      </w:r>
      <w:r w:rsidR="00612FEE">
        <w:rPr>
          <w:rStyle w:val="Voetnootmarkering"/>
          <w:rFonts w:ascii="Verdana" w:hAnsi="Verdana"/>
          <w:sz w:val="18"/>
          <w:szCs w:val="18"/>
        </w:rPr>
        <w:footnoteReference w:id="1"/>
      </w:r>
      <w:r>
        <w:rPr>
          <w:rFonts w:ascii="Verdana" w:hAnsi="Verdana"/>
          <w:sz w:val="18"/>
          <w:szCs w:val="18"/>
        </w:rPr>
        <w:t xml:space="preserve"> </w:t>
      </w:r>
      <w:r w:rsidR="00612FEE">
        <w:rPr>
          <w:rFonts w:ascii="Verdana" w:hAnsi="Verdana"/>
          <w:sz w:val="18"/>
          <w:szCs w:val="18"/>
        </w:rPr>
        <w:t xml:space="preserve">Daarbij wijzen wij </w:t>
      </w:r>
      <w:r w:rsidR="00612FEE">
        <w:rPr>
          <w:rFonts w:ascii="Verdana" w:hAnsi="Verdana"/>
          <w:sz w:val="18"/>
          <w:szCs w:val="18"/>
        </w:rPr>
        <w:lastRenderedPageBreak/>
        <w:t>ook op EU</w:t>
      </w:r>
      <w:r w:rsidR="007E1341">
        <w:rPr>
          <w:rFonts w:ascii="Verdana" w:hAnsi="Verdana"/>
          <w:sz w:val="18"/>
          <w:szCs w:val="18"/>
        </w:rPr>
        <w:t>-</w:t>
      </w:r>
      <w:r w:rsidR="00612FEE">
        <w:rPr>
          <w:rFonts w:ascii="Verdana" w:hAnsi="Verdana"/>
          <w:sz w:val="18"/>
          <w:szCs w:val="18"/>
        </w:rPr>
        <w:t>rechtelijke bezwaren en aandachtspunten, zoals die door bijvoorbeeld prof. Van Meerten naar voren zijn gebracht.</w:t>
      </w:r>
      <w:r w:rsidR="00527E71">
        <w:rPr>
          <w:rStyle w:val="Voetnootmarkering"/>
          <w:rFonts w:ascii="Verdana" w:hAnsi="Verdana"/>
          <w:sz w:val="18"/>
          <w:szCs w:val="18"/>
        </w:rPr>
        <w:footnoteReference w:id="2"/>
      </w:r>
      <w:r w:rsidR="00507690">
        <w:rPr>
          <w:rStyle w:val="Voetnootmarkering"/>
          <w:rFonts w:ascii="Verdana" w:hAnsi="Verdana"/>
          <w:sz w:val="18"/>
          <w:szCs w:val="18"/>
        </w:rPr>
        <w:footnoteReference w:id="3"/>
      </w:r>
    </w:p>
    <w:p w14:paraId="733ABFBA" w14:textId="77777777" w:rsidR="0060610A" w:rsidRDefault="0060610A" w:rsidP="002234FE">
      <w:pPr>
        <w:spacing w:after="0" w:line="240" w:lineRule="atLeast"/>
        <w:rPr>
          <w:rFonts w:ascii="Verdana" w:hAnsi="Verdana"/>
          <w:sz w:val="18"/>
          <w:szCs w:val="18"/>
        </w:rPr>
      </w:pPr>
    </w:p>
    <w:p w14:paraId="0B6DE305" w14:textId="1A5EE8A5" w:rsidR="00A443AD" w:rsidRPr="00644AD0" w:rsidRDefault="00A443AD" w:rsidP="002234FE">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is dan ook van mening dat het individuele bezwaarrecht met betrekking tot invaren behouden moet blijven.</w:t>
      </w:r>
      <w:r w:rsidR="005308CB">
        <w:rPr>
          <w:rFonts w:ascii="Verdana" w:hAnsi="Verdana"/>
          <w:sz w:val="18"/>
          <w:szCs w:val="18"/>
        </w:rPr>
        <w:t xml:space="preserve"> Het volgende punt onderstreept dit.</w:t>
      </w:r>
    </w:p>
    <w:p w14:paraId="7EB766C4" w14:textId="61D19F54" w:rsidR="00A443AD" w:rsidRDefault="00A443AD" w:rsidP="002234FE">
      <w:pPr>
        <w:spacing w:after="0" w:line="240" w:lineRule="atLeast"/>
        <w:rPr>
          <w:rFonts w:ascii="Verdana" w:hAnsi="Verdana"/>
          <w:sz w:val="18"/>
          <w:szCs w:val="18"/>
        </w:rPr>
      </w:pPr>
    </w:p>
    <w:p w14:paraId="40F68B64" w14:textId="5024A411" w:rsidR="00A443AD" w:rsidRPr="00A443AD" w:rsidRDefault="00A443AD" w:rsidP="002234FE">
      <w:pPr>
        <w:spacing w:after="0" w:line="240" w:lineRule="atLeast"/>
        <w:rPr>
          <w:rFonts w:ascii="Verdana" w:hAnsi="Verdana"/>
          <w:b/>
          <w:bCs/>
          <w:sz w:val="18"/>
          <w:szCs w:val="18"/>
        </w:rPr>
      </w:pPr>
      <w:r w:rsidRPr="00A443AD">
        <w:rPr>
          <w:rFonts w:ascii="Verdana" w:hAnsi="Verdana"/>
          <w:b/>
          <w:bCs/>
          <w:sz w:val="18"/>
          <w:szCs w:val="18"/>
        </w:rPr>
        <w:t>Positie van slapers</w:t>
      </w:r>
    </w:p>
    <w:p w14:paraId="694A94D9" w14:textId="29E75645" w:rsidR="00A443AD" w:rsidRDefault="00A443AD" w:rsidP="002234FE">
      <w:pPr>
        <w:spacing w:after="0" w:line="240" w:lineRule="atLeast"/>
        <w:rPr>
          <w:rFonts w:ascii="Verdana" w:hAnsi="Verdana"/>
          <w:sz w:val="18"/>
          <w:szCs w:val="18"/>
        </w:rPr>
      </w:pPr>
      <w:r>
        <w:rPr>
          <w:rFonts w:ascii="Verdana" w:hAnsi="Verdana"/>
          <w:sz w:val="18"/>
          <w:szCs w:val="18"/>
        </w:rPr>
        <w:t>Het wetsvoorstel onderkent dat gepensioneerden en gewezen deelnemers (‘slapers’) niet per definitie worden vertegenwoordigd door de sociale partners. Daarom introduceert het wetsvoorstel een wettelijk vastgelegd hoorrecht voor verenigingen van gepensioneerden en slapers.</w:t>
      </w:r>
    </w:p>
    <w:p w14:paraId="2AE54BD7" w14:textId="56A9F0CC" w:rsidR="00A443AD" w:rsidRDefault="00A443AD" w:rsidP="002234FE">
      <w:pPr>
        <w:spacing w:after="0" w:line="240" w:lineRule="atLeast"/>
        <w:rPr>
          <w:rFonts w:ascii="Verdana" w:hAnsi="Verdana"/>
          <w:sz w:val="18"/>
          <w:szCs w:val="18"/>
        </w:rPr>
      </w:pPr>
    </w:p>
    <w:p w14:paraId="508796C7" w14:textId="66759B99" w:rsidR="00A443AD" w:rsidRDefault="00A443AD" w:rsidP="002234FE">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signaleert dat, althans in de context van het ABP, verenigingen van gepensioneerden bestaan, maar verenigingen van slapers niet. Slapers vormen een bijzonder pluriforme groep. Het is de LvOP-</w:t>
      </w:r>
      <w:r w:rsidR="001D6AD3">
        <w:rPr>
          <w:rFonts w:ascii="Verdana" w:hAnsi="Verdana"/>
          <w:sz w:val="18"/>
          <w:szCs w:val="18"/>
        </w:rPr>
        <w:t>commissie</w:t>
      </w:r>
      <w:r>
        <w:rPr>
          <w:rFonts w:ascii="Verdana" w:hAnsi="Verdana"/>
          <w:sz w:val="18"/>
          <w:szCs w:val="18"/>
        </w:rPr>
        <w:t xml:space="preserve"> onduidelijk op grond van welke argumenten de </w:t>
      </w:r>
      <w:r w:rsidR="00ED7AEB">
        <w:rPr>
          <w:rFonts w:ascii="Verdana" w:hAnsi="Verdana"/>
          <w:sz w:val="18"/>
          <w:szCs w:val="18"/>
        </w:rPr>
        <w:t>regering</w:t>
      </w:r>
      <w:r>
        <w:rPr>
          <w:rFonts w:ascii="Verdana" w:hAnsi="Verdana"/>
          <w:sz w:val="18"/>
          <w:szCs w:val="18"/>
        </w:rPr>
        <w:t xml:space="preserve"> veronderstelt dat slapers in staat zullen zijn zich te verenigen zodat hun vereniging “een substantieel aantal van gewezen deelnemers bij het pensioenfonds” </w:t>
      </w:r>
      <w:r w:rsidR="00ED7AEB">
        <w:rPr>
          <w:rFonts w:ascii="Verdana" w:hAnsi="Verdana"/>
          <w:sz w:val="18"/>
          <w:szCs w:val="18"/>
        </w:rPr>
        <w:t xml:space="preserve">kan </w:t>
      </w:r>
      <w:r>
        <w:rPr>
          <w:rFonts w:ascii="Verdana" w:hAnsi="Verdana"/>
          <w:sz w:val="18"/>
          <w:szCs w:val="18"/>
        </w:rPr>
        <w:t>vertegenwoordig</w:t>
      </w:r>
      <w:r w:rsidR="00ED7AEB">
        <w:rPr>
          <w:rFonts w:ascii="Verdana" w:hAnsi="Verdana"/>
          <w:sz w:val="18"/>
          <w:szCs w:val="18"/>
        </w:rPr>
        <w:t>en</w:t>
      </w:r>
      <w:r>
        <w:rPr>
          <w:rFonts w:ascii="Verdana" w:hAnsi="Verdana"/>
          <w:sz w:val="18"/>
          <w:szCs w:val="18"/>
        </w:rPr>
        <w:t xml:space="preserve"> (p84 MvT). </w:t>
      </w:r>
    </w:p>
    <w:p w14:paraId="44FB83CE" w14:textId="7FFC52E5" w:rsidR="00A443AD" w:rsidRDefault="00A443AD" w:rsidP="002234FE">
      <w:pPr>
        <w:spacing w:after="0" w:line="240" w:lineRule="atLeast"/>
        <w:rPr>
          <w:rFonts w:ascii="Verdana" w:hAnsi="Verdana"/>
          <w:sz w:val="18"/>
          <w:szCs w:val="18"/>
        </w:rPr>
      </w:pPr>
    </w:p>
    <w:p w14:paraId="550DC5BD" w14:textId="3409C0C6" w:rsidR="00993C29" w:rsidRDefault="00A443AD" w:rsidP="002234FE">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verbaast zich bovendien over het feit dat dergelijke verenigingen van gepensioneerden of slapers zich bij de sociale partners dienen te melden om inzicht te krijgen </w:t>
      </w:r>
      <w:r w:rsidR="00993C29">
        <w:rPr>
          <w:rFonts w:ascii="Verdana" w:hAnsi="Verdana"/>
          <w:sz w:val="18"/>
          <w:szCs w:val="18"/>
        </w:rPr>
        <w:t xml:space="preserve">in “de beweegredenen voor het besluit tot invaren en de gevolgen die het besluit naar verwachting voor de deelnemers, gewezen deelnemers, gepensioneerden en andere pensioengerechtigden zal hebben” (p84 MvT). De </w:t>
      </w:r>
      <w:r w:rsidR="001D6AD3">
        <w:rPr>
          <w:rFonts w:ascii="Verdana" w:hAnsi="Verdana"/>
          <w:sz w:val="18"/>
          <w:szCs w:val="18"/>
        </w:rPr>
        <w:t>commissie</w:t>
      </w:r>
      <w:r w:rsidR="00993C29">
        <w:rPr>
          <w:rFonts w:ascii="Verdana" w:hAnsi="Verdana"/>
          <w:sz w:val="18"/>
          <w:szCs w:val="18"/>
        </w:rPr>
        <w:t xml:space="preserve"> verbaast zich er eveneens over dat het oordeel van de verenigingen van gepensioneerden of slapers slechts via de sociale partners kan worden ingebracht, en niet rechtstreeks bij het pensioenfonds.</w:t>
      </w:r>
    </w:p>
    <w:p w14:paraId="04DD5228" w14:textId="77777777" w:rsidR="00993C29" w:rsidRDefault="00993C29" w:rsidP="002234FE">
      <w:pPr>
        <w:spacing w:after="0" w:line="240" w:lineRule="atLeast"/>
        <w:rPr>
          <w:rFonts w:ascii="Verdana" w:hAnsi="Verdana"/>
          <w:sz w:val="18"/>
          <w:szCs w:val="18"/>
        </w:rPr>
      </w:pPr>
    </w:p>
    <w:p w14:paraId="0E0522F7" w14:textId="17860AF5" w:rsidR="00A443AD" w:rsidRDefault="00993C29" w:rsidP="002234FE">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is er niet gerust op dat het oordeel van de verenigingen van gepensioneerden of slapers op deze manier een serieuze rol in de belangenafweging zal spelen, gegeven de rol en positie van de sociale partners. Dit onderstreept naar de mening van de LvOP-</w:t>
      </w:r>
      <w:r w:rsidR="001D6AD3">
        <w:rPr>
          <w:rFonts w:ascii="Verdana" w:hAnsi="Verdana"/>
          <w:sz w:val="18"/>
          <w:szCs w:val="18"/>
        </w:rPr>
        <w:t>commissie</w:t>
      </w:r>
      <w:r>
        <w:rPr>
          <w:rFonts w:ascii="Verdana" w:hAnsi="Verdana"/>
          <w:sz w:val="18"/>
          <w:szCs w:val="18"/>
        </w:rPr>
        <w:t xml:space="preserve"> de onwenselijkheid van het schrappen van het individuele bezwaarrecht.</w:t>
      </w:r>
    </w:p>
    <w:p w14:paraId="057FD664" w14:textId="145074C6" w:rsidR="00993C29" w:rsidRDefault="00993C29" w:rsidP="002234FE">
      <w:pPr>
        <w:spacing w:after="0" w:line="240" w:lineRule="atLeast"/>
        <w:rPr>
          <w:rFonts w:ascii="Verdana" w:hAnsi="Verdana"/>
          <w:sz w:val="18"/>
          <w:szCs w:val="18"/>
        </w:rPr>
      </w:pPr>
    </w:p>
    <w:p w14:paraId="3BEBDDD6" w14:textId="36D8CC10" w:rsidR="00507690" w:rsidRDefault="00993C29" w:rsidP="002234FE">
      <w:pPr>
        <w:spacing w:after="0" w:line="240" w:lineRule="atLeast"/>
        <w:rPr>
          <w:rFonts w:ascii="Verdana" w:hAnsi="Verdana"/>
          <w:sz w:val="18"/>
          <w:szCs w:val="18"/>
        </w:rPr>
      </w:pPr>
      <w:r>
        <w:rPr>
          <w:rFonts w:ascii="Verdana" w:hAnsi="Verdana"/>
          <w:sz w:val="18"/>
          <w:szCs w:val="18"/>
        </w:rPr>
        <w:t>Ten slotte constateert de LvOP-</w:t>
      </w:r>
      <w:r w:rsidR="001D6AD3">
        <w:rPr>
          <w:rFonts w:ascii="Verdana" w:hAnsi="Verdana"/>
          <w:sz w:val="18"/>
          <w:szCs w:val="18"/>
        </w:rPr>
        <w:t>commissie</w:t>
      </w:r>
      <w:r>
        <w:rPr>
          <w:rFonts w:ascii="Verdana" w:hAnsi="Verdana"/>
          <w:sz w:val="18"/>
          <w:szCs w:val="18"/>
        </w:rPr>
        <w:t xml:space="preserve"> met betrekking tot slapers nog een omissie in het wetsvoorstel. P95 van de MvT beschrijft een bestaande wettelijke verplichting voor pensioenfondsen om desgevraagd de pensioengerechtigden bij het pensioenfonds te informeren over de oprichting of het bestaan van een vereniging van pensioengerechtigden. De LvOP-</w:t>
      </w:r>
      <w:r w:rsidR="001D6AD3">
        <w:rPr>
          <w:rFonts w:ascii="Verdana" w:hAnsi="Verdana"/>
          <w:sz w:val="18"/>
          <w:szCs w:val="18"/>
        </w:rPr>
        <w:t>commissie</w:t>
      </w:r>
      <w:r>
        <w:rPr>
          <w:rFonts w:ascii="Verdana" w:hAnsi="Verdana"/>
          <w:sz w:val="18"/>
          <w:szCs w:val="18"/>
        </w:rPr>
        <w:t xml:space="preserve"> is van mening dat indien een dergelijke verplichting met betrekking tot gepensioneerden geldt, deze ook met betrekking tot slapers zou moeten gelden.</w:t>
      </w:r>
    </w:p>
    <w:p w14:paraId="15385434" w14:textId="0FC1B032" w:rsidR="00A443AD" w:rsidRDefault="00A443AD" w:rsidP="002234FE">
      <w:pPr>
        <w:spacing w:after="0" w:line="240" w:lineRule="atLeast"/>
        <w:rPr>
          <w:rFonts w:ascii="Verdana" w:hAnsi="Verdana"/>
          <w:sz w:val="18"/>
          <w:szCs w:val="18"/>
        </w:rPr>
      </w:pPr>
    </w:p>
    <w:p w14:paraId="4DFF46BB" w14:textId="3B4DDCCD" w:rsidR="00ED6E70" w:rsidRDefault="00A97D31" w:rsidP="00A97D31">
      <w:pPr>
        <w:spacing w:after="0" w:line="240" w:lineRule="atLeast"/>
        <w:rPr>
          <w:rFonts w:ascii="Verdana" w:hAnsi="Verdana"/>
          <w:sz w:val="18"/>
          <w:szCs w:val="18"/>
        </w:rPr>
      </w:pPr>
      <w:r w:rsidRPr="00854C49">
        <w:rPr>
          <w:rFonts w:ascii="Verdana" w:hAnsi="Verdana"/>
          <w:b/>
          <w:bCs/>
          <w:sz w:val="18"/>
          <w:szCs w:val="18"/>
        </w:rPr>
        <w:t>Governance</w:t>
      </w:r>
      <w:r w:rsidR="00E872EE">
        <w:rPr>
          <w:rFonts w:ascii="Verdana" w:hAnsi="Verdana"/>
          <w:b/>
          <w:bCs/>
          <w:sz w:val="18"/>
          <w:szCs w:val="18"/>
        </w:rPr>
        <w:t xml:space="preserve"> en zeggenschap</w:t>
      </w:r>
      <w:r>
        <w:rPr>
          <w:rFonts w:ascii="Verdana" w:hAnsi="Verdana"/>
          <w:sz w:val="18"/>
          <w:szCs w:val="18"/>
        </w:rPr>
        <w:br/>
        <w:t xml:space="preserve">De </w:t>
      </w:r>
      <w:r w:rsidRPr="00A97D31">
        <w:rPr>
          <w:rFonts w:ascii="Verdana" w:hAnsi="Verdana"/>
          <w:sz w:val="18"/>
          <w:szCs w:val="18"/>
        </w:rPr>
        <w:t xml:space="preserve">belangen van pensioenuitvoerders en deelnemers </w:t>
      </w:r>
      <w:r>
        <w:rPr>
          <w:rFonts w:ascii="Verdana" w:hAnsi="Verdana"/>
          <w:sz w:val="18"/>
          <w:szCs w:val="18"/>
        </w:rPr>
        <w:t xml:space="preserve">lopen </w:t>
      </w:r>
      <w:r w:rsidRPr="00A97D31">
        <w:rPr>
          <w:rFonts w:ascii="Verdana" w:hAnsi="Verdana"/>
          <w:sz w:val="18"/>
          <w:szCs w:val="18"/>
        </w:rPr>
        <w:t xml:space="preserve">niet </w:t>
      </w:r>
      <w:r w:rsidR="0067549E">
        <w:rPr>
          <w:rFonts w:ascii="Verdana" w:hAnsi="Verdana"/>
          <w:sz w:val="18"/>
          <w:szCs w:val="18"/>
        </w:rPr>
        <w:t xml:space="preserve">(altijd) </w:t>
      </w:r>
      <w:r w:rsidRPr="00A97D31">
        <w:rPr>
          <w:rFonts w:ascii="Verdana" w:hAnsi="Verdana"/>
          <w:sz w:val="18"/>
          <w:szCs w:val="18"/>
        </w:rPr>
        <w:t>gelijk.</w:t>
      </w:r>
      <w:r>
        <w:rPr>
          <w:rFonts w:ascii="Verdana" w:hAnsi="Verdana"/>
          <w:sz w:val="18"/>
          <w:szCs w:val="18"/>
        </w:rPr>
        <w:t xml:space="preserve"> Nu niet, maar in het nieuwe stelsel </w:t>
      </w:r>
      <w:r w:rsidR="00B330EE">
        <w:rPr>
          <w:rFonts w:ascii="Verdana" w:hAnsi="Verdana"/>
          <w:sz w:val="18"/>
          <w:szCs w:val="18"/>
        </w:rPr>
        <w:t xml:space="preserve">misschien </w:t>
      </w:r>
      <w:r>
        <w:rPr>
          <w:rFonts w:ascii="Verdana" w:hAnsi="Verdana"/>
          <w:sz w:val="18"/>
          <w:szCs w:val="18"/>
        </w:rPr>
        <w:t>nog</w:t>
      </w:r>
      <w:r w:rsidR="00B330EE">
        <w:rPr>
          <w:rFonts w:ascii="Verdana" w:hAnsi="Verdana"/>
          <w:sz w:val="18"/>
          <w:szCs w:val="18"/>
        </w:rPr>
        <w:t xml:space="preserve"> wel</w:t>
      </w:r>
      <w:r>
        <w:rPr>
          <w:rFonts w:ascii="Verdana" w:hAnsi="Verdana"/>
          <w:sz w:val="18"/>
          <w:szCs w:val="18"/>
        </w:rPr>
        <w:t xml:space="preserve"> </w:t>
      </w:r>
      <w:r w:rsidR="00ED6E70">
        <w:rPr>
          <w:rFonts w:ascii="Verdana" w:hAnsi="Verdana"/>
          <w:sz w:val="18"/>
          <w:szCs w:val="18"/>
        </w:rPr>
        <w:t>minder</w:t>
      </w:r>
      <w:r>
        <w:rPr>
          <w:rFonts w:ascii="Verdana" w:hAnsi="Verdana"/>
          <w:sz w:val="18"/>
          <w:szCs w:val="18"/>
        </w:rPr>
        <w:t>.</w:t>
      </w:r>
      <w:r w:rsidR="00ED6E70">
        <w:rPr>
          <w:rFonts w:ascii="Verdana" w:hAnsi="Verdana"/>
          <w:sz w:val="18"/>
          <w:szCs w:val="18"/>
        </w:rPr>
        <w:t xml:space="preserve"> Immers:</w:t>
      </w:r>
    </w:p>
    <w:p w14:paraId="6F05BDE4" w14:textId="77777777" w:rsidR="00ED6E70" w:rsidRDefault="00B330EE" w:rsidP="00ED6E70">
      <w:pPr>
        <w:pStyle w:val="Lijstalinea"/>
        <w:numPr>
          <w:ilvl w:val="0"/>
          <w:numId w:val="2"/>
        </w:numPr>
        <w:spacing w:after="0" w:line="240" w:lineRule="atLeast"/>
        <w:rPr>
          <w:rFonts w:ascii="Verdana" w:hAnsi="Verdana"/>
          <w:sz w:val="18"/>
          <w:szCs w:val="18"/>
        </w:rPr>
      </w:pPr>
      <w:r w:rsidRPr="00854C49">
        <w:rPr>
          <w:rFonts w:ascii="Verdana" w:hAnsi="Verdana"/>
          <w:sz w:val="18"/>
          <w:szCs w:val="18"/>
        </w:rPr>
        <w:t xml:space="preserve">In het nieuwe pensioenstelsel </w:t>
      </w:r>
      <w:r w:rsidR="004F75F5" w:rsidRPr="00854C49">
        <w:rPr>
          <w:rFonts w:ascii="Verdana" w:hAnsi="Verdana"/>
          <w:sz w:val="18"/>
          <w:szCs w:val="18"/>
        </w:rPr>
        <w:t xml:space="preserve">met </w:t>
      </w:r>
      <w:r w:rsidRPr="00854C49">
        <w:rPr>
          <w:rFonts w:ascii="Verdana" w:hAnsi="Verdana"/>
          <w:sz w:val="18"/>
          <w:szCs w:val="18"/>
        </w:rPr>
        <w:t>premieregelingen komen de risico</w:t>
      </w:r>
      <w:r w:rsidR="004F75F5" w:rsidRPr="00854C49">
        <w:rPr>
          <w:rFonts w:ascii="Verdana" w:hAnsi="Verdana"/>
          <w:sz w:val="18"/>
          <w:szCs w:val="18"/>
        </w:rPr>
        <w:t>’</w:t>
      </w:r>
      <w:r w:rsidRPr="00854C49">
        <w:rPr>
          <w:rFonts w:ascii="Verdana" w:hAnsi="Verdana"/>
          <w:sz w:val="18"/>
          <w:szCs w:val="18"/>
        </w:rPr>
        <w:t xml:space="preserve">s </w:t>
      </w:r>
      <w:r w:rsidR="004F75F5" w:rsidRPr="00854C49">
        <w:rPr>
          <w:rFonts w:ascii="Verdana" w:hAnsi="Verdana"/>
          <w:i/>
          <w:iCs/>
          <w:sz w:val="18"/>
          <w:szCs w:val="18"/>
        </w:rPr>
        <w:t>expliciet</w:t>
      </w:r>
      <w:r w:rsidR="004F75F5" w:rsidRPr="00854C49">
        <w:rPr>
          <w:rFonts w:ascii="Verdana" w:hAnsi="Verdana"/>
          <w:sz w:val="18"/>
          <w:szCs w:val="18"/>
        </w:rPr>
        <w:t xml:space="preserve"> </w:t>
      </w:r>
      <w:r w:rsidRPr="00854C49">
        <w:rPr>
          <w:rFonts w:ascii="Verdana" w:hAnsi="Verdana"/>
          <w:sz w:val="18"/>
          <w:szCs w:val="18"/>
        </w:rPr>
        <w:t>op het bord van deelnemers, slapers en gepensioneerden te liggen</w:t>
      </w:r>
      <w:r w:rsidR="004F75F5" w:rsidRPr="00854C49">
        <w:rPr>
          <w:rFonts w:ascii="Verdana" w:hAnsi="Verdana"/>
          <w:sz w:val="18"/>
          <w:szCs w:val="18"/>
        </w:rPr>
        <w:t>.</w:t>
      </w:r>
      <w:r w:rsidR="00F34005" w:rsidRPr="00854C49">
        <w:rPr>
          <w:rFonts w:ascii="Verdana" w:hAnsi="Verdana"/>
          <w:sz w:val="18"/>
          <w:szCs w:val="18"/>
        </w:rPr>
        <w:t xml:space="preserve"> </w:t>
      </w:r>
    </w:p>
    <w:p w14:paraId="230551B4" w14:textId="752CA8DB" w:rsidR="00ED6E70" w:rsidRPr="00854C49" w:rsidRDefault="00ED6E70" w:rsidP="00ED6E70">
      <w:pPr>
        <w:pStyle w:val="Lijstalinea"/>
        <w:numPr>
          <w:ilvl w:val="0"/>
          <w:numId w:val="2"/>
        </w:numPr>
        <w:spacing w:after="0" w:line="240" w:lineRule="atLeast"/>
        <w:rPr>
          <w:rFonts w:ascii="Verdana" w:hAnsi="Verdana"/>
          <w:sz w:val="18"/>
          <w:szCs w:val="18"/>
        </w:rPr>
      </w:pPr>
      <w:r w:rsidRPr="00F717A8">
        <w:rPr>
          <w:rFonts w:ascii="Verdana" w:hAnsi="Verdana"/>
          <w:sz w:val="18"/>
          <w:szCs w:val="18"/>
        </w:rPr>
        <w:t xml:space="preserve">Er wordt overgestapt van een resultaatverplichting naar een inspanningsverplichting. </w:t>
      </w:r>
    </w:p>
    <w:p w14:paraId="6F127110" w14:textId="63003B47" w:rsidR="00ED6E70" w:rsidRPr="00854C49" w:rsidRDefault="00ED6E70" w:rsidP="001D6AD3">
      <w:pPr>
        <w:pStyle w:val="Lijstalinea"/>
        <w:numPr>
          <w:ilvl w:val="0"/>
          <w:numId w:val="2"/>
        </w:numPr>
        <w:spacing w:after="0" w:line="240" w:lineRule="atLeast"/>
        <w:ind w:left="714" w:hanging="357"/>
        <w:rPr>
          <w:rFonts w:ascii="Verdana" w:hAnsi="Verdana"/>
          <w:sz w:val="18"/>
          <w:szCs w:val="18"/>
        </w:rPr>
      </w:pPr>
      <w:r>
        <w:rPr>
          <w:rFonts w:ascii="Verdana" w:hAnsi="Verdana"/>
          <w:sz w:val="18"/>
          <w:szCs w:val="18"/>
        </w:rPr>
        <w:t>(</w:t>
      </w:r>
      <w:r w:rsidR="00F0213F">
        <w:rPr>
          <w:rFonts w:ascii="Verdana" w:hAnsi="Verdana"/>
          <w:sz w:val="18"/>
          <w:szCs w:val="18"/>
        </w:rPr>
        <w:t>V</w:t>
      </w:r>
      <w:r>
        <w:rPr>
          <w:rFonts w:ascii="Verdana" w:hAnsi="Verdana"/>
          <w:sz w:val="18"/>
          <w:szCs w:val="18"/>
        </w:rPr>
        <w:t xml:space="preserve">erplichtgestelde) </w:t>
      </w:r>
      <w:r w:rsidR="00F0213F">
        <w:rPr>
          <w:rFonts w:ascii="Verdana" w:hAnsi="Verdana"/>
          <w:sz w:val="18"/>
          <w:szCs w:val="18"/>
        </w:rPr>
        <w:t>d</w:t>
      </w:r>
      <w:r w:rsidRPr="00ED6E70">
        <w:rPr>
          <w:rFonts w:ascii="Verdana" w:hAnsi="Verdana"/>
          <w:sz w:val="18"/>
          <w:szCs w:val="18"/>
        </w:rPr>
        <w:t>eelnemer</w:t>
      </w:r>
      <w:r>
        <w:rPr>
          <w:rFonts w:ascii="Verdana" w:hAnsi="Verdana"/>
          <w:sz w:val="18"/>
          <w:szCs w:val="18"/>
        </w:rPr>
        <w:t xml:space="preserve">s hebben </w:t>
      </w:r>
      <w:r w:rsidRPr="00ED6E70">
        <w:rPr>
          <w:rFonts w:ascii="Verdana" w:hAnsi="Verdana"/>
          <w:sz w:val="18"/>
          <w:szCs w:val="18"/>
        </w:rPr>
        <w:t>niet zelf kunnen kiezen voor de bestuurders of voor het beleid</w:t>
      </w:r>
      <w:r w:rsidR="00F0213F">
        <w:rPr>
          <w:rFonts w:ascii="Verdana" w:hAnsi="Verdana"/>
          <w:sz w:val="18"/>
          <w:szCs w:val="18"/>
        </w:rPr>
        <w:t xml:space="preserve"> van hun pensioen</w:t>
      </w:r>
      <w:r w:rsidR="00A73FA0">
        <w:rPr>
          <w:rFonts w:ascii="Verdana" w:hAnsi="Verdana"/>
          <w:sz w:val="18"/>
          <w:szCs w:val="18"/>
        </w:rPr>
        <w:t>; uit het wetsvoorstel blijkt dat zij dat ook niet mogen in</w:t>
      </w:r>
      <w:r>
        <w:rPr>
          <w:rFonts w:ascii="Verdana" w:hAnsi="Verdana"/>
          <w:sz w:val="18"/>
          <w:szCs w:val="18"/>
        </w:rPr>
        <w:t xml:space="preserve"> het nieuwe stelsel</w:t>
      </w:r>
      <w:r w:rsidR="00A73FA0">
        <w:rPr>
          <w:rFonts w:ascii="Verdana" w:hAnsi="Verdana"/>
          <w:sz w:val="18"/>
          <w:szCs w:val="18"/>
        </w:rPr>
        <w:t>, zelfs niet als het gaat om bijvoorbeeld</w:t>
      </w:r>
      <w:r w:rsidRPr="00ED6E70">
        <w:rPr>
          <w:rFonts w:ascii="Verdana" w:hAnsi="Verdana"/>
          <w:sz w:val="18"/>
          <w:szCs w:val="18"/>
        </w:rPr>
        <w:t xml:space="preserve"> een </w:t>
      </w:r>
      <w:r>
        <w:rPr>
          <w:rFonts w:ascii="Verdana" w:hAnsi="Verdana"/>
          <w:sz w:val="18"/>
          <w:szCs w:val="18"/>
        </w:rPr>
        <w:t>(standaard)</w:t>
      </w:r>
      <w:r w:rsidRPr="00ED6E70">
        <w:rPr>
          <w:rFonts w:ascii="Verdana" w:hAnsi="Verdana"/>
          <w:sz w:val="18"/>
          <w:szCs w:val="18"/>
        </w:rPr>
        <w:t xml:space="preserve"> risicohouding</w:t>
      </w:r>
      <w:r w:rsidR="00A73FA0">
        <w:rPr>
          <w:rFonts w:ascii="Verdana" w:hAnsi="Verdana"/>
          <w:sz w:val="18"/>
          <w:szCs w:val="18"/>
        </w:rPr>
        <w:t>.</w:t>
      </w:r>
      <w:r w:rsidR="00B82076">
        <w:rPr>
          <w:rFonts w:ascii="Verdana" w:hAnsi="Verdana"/>
          <w:sz w:val="18"/>
          <w:szCs w:val="18"/>
        </w:rPr>
        <w:t xml:space="preserve"> Voor wat betreft dit laatste geeft pagina 21 van de MvT aan dat “ …</w:t>
      </w:r>
      <w:r w:rsidR="00B82076" w:rsidRPr="00B82076">
        <w:rPr>
          <w:rFonts w:ascii="Verdana" w:hAnsi="Verdana"/>
          <w:sz w:val="18"/>
          <w:szCs w:val="18"/>
        </w:rPr>
        <w:t xml:space="preserve">pensioenuitvoerders voortaan  periodiek,  ten  minste  eenmaal  in  vijf  jaar,  een risicopreferentieonderzoek </w:t>
      </w:r>
      <w:r w:rsidR="00B82076">
        <w:rPr>
          <w:rFonts w:ascii="Verdana" w:hAnsi="Verdana"/>
          <w:sz w:val="18"/>
          <w:szCs w:val="18"/>
        </w:rPr>
        <w:t xml:space="preserve">[moeten] </w:t>
      </w:r>
      <w:r w:rsidR="00B82076" w:rsidRPr="00B82076">
        <w:rPr>
          <w:rFonts w:ascii="Verdana" w:hAnsi="Verdana"/>
          <w:sz w:val="18"/>
          <w:szCs w:val="18"/>
        </w:rPr>
        <w:lastRenderedPageBreak/>
        <w:t>doen onder hun deelnemers”</w:t>
      </w:r>
      <w:r w:rsidR="00B82076">
        <w:rPr>
          <w:rFonts w:ascii="Verdana" w:hAnsi="Verdana"/>
          <w:sz w:val="18"/>
          <w:szCs w:val="18"/>
        </w:rPr>
        <w:t xml:space="preserve">. </w:t>
      </w:r>
      <w:r w:rsidR="00B82076" w:rsidRPr="000F5EBD">
        <w:t xml:space="preserve">In de </w:t>
      </w:r>
      <w:r w:rsidR="007E1341">
        <w:t>MvT</w:t>
      </w:r>
      <w:r w:rsidR="00B82076" w:rsidRPr="000F5EBD">
        <w:t xml:space="preserve"> ontbreekt </w:t>
      </w:r>
      <w:r w:rsidR="00B82076" w:rsidRPr="00854C49">
        <w:t xml:space="preserve">echter </w:t>
      </w:r>
      <w:r w:rsidR="00B82076" w:rsidRPr="000F5EBD">
        <w:t>informatie</w:t>
      </w:r>
      <w:r w:rsidR="00B82076" w:rsidRPr="0062748B">
        <w:t xml:space="preserve"> </w:t>
      </w:r>
      <w:r w:rsidR="00B82076" w:rsidRPr="000F5EBD">
        <w:t>over de</w:t>
      </w:r>
      <w:r w:rsidR="00B82076" w:rsidRPr="0062748B">
        <w:t xml:space="preserve"> </w:t>
      </w:r>
      <w:r w:rsidR="00B82076" w:rsidRPr="000F5EBD">
        <w:t>methodes waardoor risicopreferenties wel of niet adequaat gemeten kunnen worden.</w:t>
      </w:r>
    </w:p>
    <w:p w14:paraId="26EEB8FC" w14:textId="77777777" w:rsidR="00ED6E70" w:rsidRDefault="00ED6E70" w:rsidP="00ED6E70">
      <w:pPr>
        <w:spacing w:after="0" w:line="240" w:lineRule="atLeast"/>
        <w:rPr>
          <w:rFonts w:ascii="Verdana" w:hAnsi="Verdana"/>
          <w:sz w:val="18"/>
          <w:szCs w:val="18"/>
        </w:rPr>
      </w:pPr>
    </w:p>
    <w:p w14:paraId="22BF35B2" w14:textId="1AEF0570" w:rsidR="00F0009E" w:rsidRPr="00F86590" w:rsidRDefault="00F34005" w:rsidP="00F0009E">
      <w:pPr>
        <w:spacing w:after="0" w:line="240" w:lineRule="atLeast"/>
        <w:rPr>
          <w:rFonts w:ascii="Verdana" w:hAnsi="Verdana"/>
          <w:sz w:val="18"/>
          <w:szCs w:val="18"/>
        </w:rPr>
      </w:pPr>
      <w:r w:rsidRPr="00854C49">
        <w:rPr>
          <w:rFonts w:ascii="Verdana" w:hAnsi="Verdana"/>
          <w:sz w:val="18"/>
          <w:szCs w:val="18"/>
        </w:rPr>
        <w:t>Waar</w:t>
      </w:r>
      <w:r w:rsidR="00052DED">
        <w:rPr>
          <w:rFonts w:ascii="Verdana" w:hAnsi="Verdana"/>
          <w:sz w:val="18"/>
          <w:szCs w:val="18"/>
        </w:rPr>
        <w:t xml:space="preserve"> </w:t>
      </w:r>
      <w:r w:rsidRPr="00854C49">
        <w:rPr>
          <w:rFonts w:ascii="Verdana" w:hAnsi="Verdana"/>
          <w:sz w:val="18"/>
          <w:szCs w:val="18"/>
        </w:rPr>
        <w:t>- eerdere advisering van de Raad van State indachtig</w:t>
      </w:r>
      <w:r w:rsidR="00ED6E70">
        <w:rPr>
          <w:rStyle w:val="Voetnootmarkering"/>
          <w:rFonts w:ascii="Verdana" w:hAnsi="Verdana"/>
          <w:sz w:val="18"/>
          <w:szCs w:val="18"/>
        </w:rPr>
        <w:footnoteReference w:id="4"/>
      </w:r>
      <w:r w:rsidRPr="00854C49">
        <w:rPr>
          <w:rFonts w:ascii="Verdana" w:hAnsi="Verdana"/>
          <w:sz w:val="18"/>
          <w:szCs w:val="18"/>
        </w:rPr>
        <w:t xml:space="preserve"> – meer </w:t>
      </w:r>
      <w:r w:rsidR="00ED6E70" w:rsidRPr="00854C49">
        <w:rPr>
          <w:rFonts w:ascii="Verdana" w:hAnsi="Verdana"/>
          <w:sz w:val="18"/>
          <w:szCs w:val="18"/>
        </w:rPr>
        <w:t>zeggenschap</w:t>
      </w:r>
      <w:r w:rsidR="00052DED">
        <w:rPr>
          <w:rFonts w:ascii="Verdana" w:hAnsi="Verdana"/>
          <w:sz w:val="18"/>
          <w:szCs w:val="18"/>
        </w:rPr>
        <w:t xml:space="preserve"> van de uiteindelijke risicodragers</w:t>
      </w:r>
      <w:r w:rsidR="00A73FA0">
        <w:rPr>
          <w:rFonts w:ascii="Verdana" w:hAnsi="Verdana"/>
          <w:sz w:val="18"/>
          <w:szCs w:val="18"/>
        </w:rPr>
        <w:t xml:space="preserve"> (</w:t>
      </w:r>
      <w:r w:rsidR="00052DED">
        <w:rPr>
          <w:rFonts w:ascii="Verdana" w:hAnsi="Verdana"/>
          <w:sz w:val="18"/>
          <w:szCs w:val="18"/>
        </w:rPr>
        <w:t>de deelnemers</w:t>
      </w:r>
      <w:r w:rsidR="00A73FA0">
        <w:rPr>
          <w:rFonts w:ascii="Verdana" w:hAnsi="Verdana"/>
          <w:sz w:val="18"/>
          <w:szCs w:val="18"/>
        </w:rPr>
        <w:t>)</w:t>
      </w:r>
      <w:r w:rsidR="00052DED">
        <w:rPr>
          <w:rFonts w:ascii="Verdana" w:hAnsi="Verdana"/>
          <w:sz w:val="18"/>
          <w:szCs w:val="18"/>
        </w:rPr>
        <w:t xml:space="preserve"> te rechtvaardigen zou zijn, </w:t>
      </w:r>
      <w:r w:rsidR="00ED6E70" w:rsidRPr="00854C49">
        <w:rPr>
          <w:rFonts w:ascii="Verdana" w:hAnsi="Verdana"/>
          <w:sz w:val="18"/>
          <w:szCs w:val="18"/>
        </w:rPr>
        <w:t xml:space="preserve">lezen </w:t>
      </w:r>
      <w:r w:rsidR="00052DED">
        <w:rPr>
          <w:rFonts w:ascii="Verdana" w:hAnsi="Verdana"/>
          <w:sz w:val="18"/>
          <w:szCs w:val="18"/>
        </w:rPr>
        <w:t xml:space="preserve">wij daarover </w:t>
      </w:r>
      <w:r w:rsidR="00ED6E70" w:rsidRPr="00854C49">
        <w:rPr>
          <w:rFonts w:ascii="Verdana" w:hAnsi="Verdana"/>
          <w:sz w:val="18"/>
          <w:szCs w:val="18"/>
        </w:rPr>
        <w:t>in het wetsvoorstel en de Mv</w:t>
      </w:r>
      <w:r w:rsidR="00052DED">
        <w:rPr>
          <w:rFonts w:ascii="Verdana" w:hAnsi="Verdana"/>
          <w:sz w:val="18"/>
          <w:szCs w:val="18"/>
        </w:rPr>
        <w:t>T niets. W</w:t>
      </w:r>
      <w:r w:rsidR="007E1341">
        <w:rPr>
          <w:rFonts w:ascii="Verdana" w:hAnsi="Verdana"/>
          <w:sz w:val="18"/>
          <w:szCs w:val="18"/>
        </w:rPr>
        <w:t>ie</w:t>
      </w:r>
      <w:r w:rsidR="00052DED">
        <w:rPr>
          <w:rFonts w:ascii="Verdana" w:hAnsi="Verdana"/>
          <w:sz w:val="18"/>
          <w:szCs w:val="18"/>
        </w:rPr>
        <w:t xml:space="preserve"> schets</w:t>
      </w:r>
      <w:r w:rsidR="007E1341">
        <w:rPr>
          <w:rFonts w:ascii="Verdana" w:hAnsi="Verdana"/>
          <w:sz w:val="18"/>
          <w:szCs w:val="18"/>
        </w:rPr>
        <w:t>t</w:t>
      </w:r>
      <w:r w:rsidR="00052DED">
        <w:rPr>
          <w:rFonts w:ascii="Verdana" w:hAnsi="Verdana"/>
          <w:sz w:val="18"/>
          <w:szCs w:val="18"/>
        </w:rPr>
        <w:t xml:space="preserve"> onze verbazing: d</w:t>
      </w:r>
      <w:r w:rsidR="00052DED" w:rsidRPr="00052DED">
        <w:rPr>
          <w:rFonts w:ascii="Verdana" w:hAnsi="Verdana"/>
          <w:sz w:val="18"/>
          <w:szCs w:val="18"/>
        </w:rPr>
        <w:t xml:space="preserve">e rol van sociale partners wordt </w:t>
      </w:r>
      <w:r w:rsidR="00052DED">
        <w:rPr>
          <w:rFonts w:ascii="Verdana" w:hAnsi="Verdana"/>
          <w:sz w:val="18"/>
          <w:szCs w:val="18"/>
        </w:rPr>
        <w:t xml:space="preserve">nog </w:t>
      </w:r>
      <w:r w:rsidR="00052DED" w:rsidRPr="00052DED">
        <w:rPr>
          <w:rFonts w:ascii="Verdana" w:hAnsi="Verdana"/>
          <w:sz w:val="18"/>
          <w:szCs w:val="18"/>
        </w:rPr>
        <w:t>sterker.</w:t>
      </w:r>
      <w:r w:rsidR="00052DED">
        <w:rPr>
          <w:rFonts w:ascii="Verdana" w:hAnsi="Verdana"/>
          <w:sz w:val="18"/>
          <w:szCs w:val="18"/>
        </w:rPr>
        <w:t xml:space="preserve"> </w:t>
      </w:r>
      <w:r w:rsidR="00F0009E" w:rsidRPr="00052DED">
        <w:rPr>
          <w:rFonts w:ascii="Verdana" w:hAnsi="Verdana"/>
          <w:sz w:val="18"/>
          <w:szCs w:val="18"/>
        </w:rPr>
        <w:t>Naast de pensioenregeling</w:t>
      </w:r>
      <w:r w:rsidR="003B554C">
        <w:rPr>
          <w:rFonts w:ascii="Verdana" w:hAnsi="Verdana"/>
          <w:sz w:val="18"/>
          <w:szCs w:val="18"/>
        </w:rPr>
        <w:t xml:space="preserve"> </w:t>
      </w:r>
      <w:r w:rsidR="00F0009E" w:rsidRPr="00052DED">
        <w:rPr>
          <w:rFonts w:ascii="Verdana" w:hAnsi="Verdana"/>
          <w:sz w:val="18"/>
          <w:szCs w:val="18"/>
        </w:rPr>
        <w:t xml:space="preserve">wordt </w:t>
      </w:r>
      <w:r w:rsidR="00F0009E">
        <w:rPr>
          <w:rFonts w:ascii="Verdana" w:hAnsi="Verdana"/>
          <w:sz w:val="18"/>
          <w:szCs w:val="18"/>
        </w:rPr>
        <w:t xml:space="preserve">ook </w:t>
      </w:r>
      <w:r w:rsidR="00F0009E" w:rsidRPr="00052DED">
        <w:rPr>
          <w:rFonts w:ascii="Verdana" w:hAnsi="Verdana"/>
          <w:sz w:val="18"/>
          <w:szCs w:val="18"/>
        </w:rPr>
        <w:t>de uitvoering s</w:t>
      </w:r>
      <w:r w:rsidR="00F0009E">
        <w:rPr>
          <w:rFonts w:ascii="Verdana" w:hAnsi="Verdana"/>
          <w:sz w:val="18"/>
          <w:szCs w:val="18"/>
        </w:rPr>
        <w:t>terker</w:t>
      </w:r>
      <w:r w:rsidR="00F0009E" w:rsidRPr="00052DED">
        <w:rPr>
          <w:rFonts w:ascii="Verdana" w:hAnsi="Verdana"/>
          <w:sz w:val="18"/>
          <w:szCs w:val="18"/>
        </w:rPr>
        <w:t xml:space="preserve"> afhankelijk van sociale partners</w:t>
      </w:r>
      <w:r w:rsidR="00F0009E">
        <w:rPr>
          <w:rFonts w:ascii="Verdana" w:hAnsi="Verdana"/>
          <w:sz w:val="18"/>
          <w:szCs w:val="18"/>
        </w:rPr>
        <w:t xml:space="preserve">. </w:t>
      </w:r>
      <w:r w:rsidR="0065374F">
        <w:rPr>
          <w:rFonts w:ascii="Verdana" w:hAnsi="Verdana"/>
          <w:sz w:val="18"/>
          <w:szCs w:val="18"/>
        </w:rPr>
        <w:t xml:space="preserve">Voorbeelden daarvan zijn </w:t>
      </w:r>
      <w:r w:rsidR="00F0009E" w:rsidRPr="00052DED">
        <w:rPr>
          <w:rFonts w:ascii="Verdana" w:hAnsi="Verdana"/>
          <w:sz w:val="18"/>
          <w:szCs w:val="18"/>
        </w:rPr>
        <w:t xml:space="preserve">de op te richten transitiecommissie en </w:t>
      </w:r>
      <w:r w:rsidR="0065374F">
        <w:rPr>
          <w:rFonts w:ascii="Verdana" w:hAnsi="Verdana"/>
          <w:sz w:val="18"/>
          <w:szCs w:val="18"/>
        </w:rPr>
        <w:t xml:space="preserve">keuzes rond </w:t>
      </w:r>
      <w:r w:rsidR="004F3ED2">
        <w:rPr>
          <w:rFonts w:ascii="Verdana" w:hAnsi="Verdana"/>
          <w:sz w:val="18"/>
          <w:szCs w:val="18"/>
        </w:rPr>
        <w:t xml:space="preserve">een nieuw contract, </w:t>
      </w:r>
      <w:r w:rsidR="0065374F">
        <w:rPr>
          <w:rFonts w:ascii="Verdana" w:hAnsi="Verdana"/>
          <w:sz w:val="18"/>
          <w:szCs w:val="18"/>
        </w:rPr>
        <w:t xml:space="preserve">(vullen en uitdelen van) </w:t>
      </w:r>
      <w:r w:rsidR="00F0009E" w:rsidRPr="00052DED">
        <w:rPr>
          <w:rFonts w:ascii="Verdana" w:hAnsi="Verdana"/>
          <w:sz w:val="18"/>
          <w:szCs w:val="18"/>
        </w:rPr>
        <w:t>de solidariteitsreserve</w:t>
      </w:r>
      <w:r w:rsidR="004F3ED2">
        <w:rPr>
          <w:rFonts w:ascii="Verdana" w:hAnsi="Verdana"/>
          <w:sz w:val="18"/>
          <w:szCs w:val="18"/>
        </w:rPr>
        <w:t xml:space="preserve"> en invaren</w:t>
      </w:r>
      <w:r w:rsidR="00F0009E" w:rsidRPr="00052DED">
        <w:rPr>
          <w:rFonts w:ascii="Verdana" w:hAnsi="Verdana"/>
          <w:sz w:val="18"/>
          <w:szCs w:val="18"/>
        </w:rPr>
        <w:t xml:space="preserve">. </w:t>
      </w:r>
      <w:r w:rsidR="0065374F">
        <w:rPr>
          <w:rFonts w:ascii="Verdana" w:hAnsi="Verdana"/>
          <w:sz w:val="18"/>
          <w:szCs w:val="18"/>
        </w:rPr>
        <w:t>D</w:t>
      </w:r>
      <w:r w:rsidR="00F0009E" w:rsidRPr="00052DED">
        <w:rPr>
          <w:rFonts w:ascii="Verdana" w:hAnsi="Verdana"/>
          <w:sz w:val="18"/>
          <w:szCs w:val="18"/>
        </w:rPr>
        <w:t xml:space="preserve">eelnemers kunnen daar </w:t>
      </w:r>
      <w:r w:rsidR="0065374F">
        <w:rPr>
          <w:rFonts w:ascii="Verdana" w:hAnsi="Verdana"/>
          <w:sz w:val="18"/>
          <w:szCs w:val="18"/>
        </w:rPr>
        <w:t xml:space="preserve">niet direct </w:t>
      </w:r>
      <w:r w:rsidR="00F0009E" w:rsidRPr="00052DED">
        <w:rPr>
          <w:rFonts w:ascii="Verdana" w:hAnsi="Verdana"/>
          <w:sz w:val="18"/>
          <w:szCs w:val="18"/>
        </w:rPr>
        <w:t>invloed op uitoefenen</w:t>
      </w:r>
      <w:r w:rsidR="004F3ED2">
        <w:rPr>
          <w:rFonts w:ascii="Verdana" w:hAnsi="Verdana"/>
          <w:sz w:val="18"/>
          <w:szCs w:val="18"/>
        </w:rPr>
        <w:t xml:space="preserve"> en de wetgever kleedt een </w:t>
      </w:r>
      <w:r w:rsidR="004F3ED2" w:rsidRPr="004F3ED2">
        <w:rPr>
          <w:rFonts w:ascii="Verdana" w:hAnsi="Verdana"/>
          <w:sz w:val="18"/>
          <w:szCs w:val="18"/>
        </w:rPr>
        <w:t xml:space="preserve">keihard vetorecht </w:t>
      </w:r>
      <w:r w:rsidR="004F3ED2">
        <w:rPr>
          <w:rFonts w:ascii="Verdana" w:hAnsi="Verdana"/>
          <w:sz w:val="18"/>
          <w:szCs w:val="18"/>
        </w:rPr>
        <w:t xml:space="preserve">bij invaren </w:t>
      </w:r>
      <w:r w:rsidR="004F3ED2" w:rsidRPr="004F3ED2">
        <w:rPr>
          <w:rFonts w:ascii="Verdana" w:hAnsi="Verdana"/>
          <w:sz w:val="18"/>
          <w:szCs w:val="18"/>
        </w:rPr>
        <w:t>uit</w:t>
      </w:r>
      <w:r w:rsidR="004F3ED2">
        <w:rPr>
          <w:rFonts w:ascii="Verdana" w:hAnsi="Verdana"/>
          <w:sz w:val="18"/>
          <w:szCs w:val="18"/>
        </w:rPr>
        <w:t xml:space="preserve"> </w:t>
      </w:r>
      <w:r w:rsidR="004F3ED2" w:rsidRPr="004F3ED2">
        <w:rPr>
          <w:rFonts w:ascii="Verdana" w:hAnsi="Verdana"/>
          <w:sz w:val="18"/>
          <w:szCs w:val="18"/>
        </w:rPr>
        <w:t>tot een marginale toets door het verantwoordingsorgaan</w:t>
      </w:r>
      <w:r w:rsidR="004F3ED2">
        <w:rPr>
          <w:rFonts w:ascii="Verdana" w:hAnsi="Verdana"/>
          <w:sz w:val="18"/>
          <w:szCs w:val="18"/>
        </w:rPr>
        <w:t xml:space="preserve">. </w:t>
      </w:r>
    </w:p>
    <w:p w14:paraId="14DF4B45" w14:textId="77777777" w:rsidR="00F0009E" w:rsidRDefault="00F0009E" w:rsidP="00ED6E70">
      <w:pPr>
        <w:spacing w:after="0" w:line="240" w:lineRule="atLeast"/>
        <w:rPr>
          <w:rFonts w:ascii="Verdana" w:hAnsi="Verdana"/>
          <w:sz w:val="18"/>
          <w:szCs w:val="18"/>
        </w:rPr>
      </w:pPr>
    </w:p>
    <w:p w14:paraId="6D2A988C" w14:textId="26C8DC62" w:rsidR="00052DED" w:rsidRDefault="003B554C" w:rsidP="00ED6E70">
      <w:pPr>
        <w:spacing w:after="0" w:line="240" w:lineRule="atLeast"/>
        <w:rPr>
          <w:rFonts w:ascii="Verdana" w:hAnsi="Verdana"/>
          <w:sz w:val="18"/>
          <w:szCs w:val="18"/>
        </w:rPr>
      </w:pPr>
      <w:r>
        <w:rPr>
          <w:rFonts w:ascii="Verdana" w:hAnsi="Verdana"/>
          <w:sz w:val="18"/>
          <w:szCs w:val="18"/>
        </w:rPr>
        <w:t xml:space="preserve">Is </w:t>
      </w:r>
      <w:r w:rsidR="00E872EE">
        <w:rPr>
          <w:rFonts w:ascii="Verdana" w:hAnsi="Verdana"/>
          <w:sz w:val="18"/>
          <w:szCs w:val="18"/>
        </w:rPr>
        <w:t xml:space="preserve">versterking van de rol van sociale partners </w:t>
      </w:r>
      <w:r w:rsidR="00052DED">
        <w:rPr>
          <w:rFonts w:ascii="Verdana" w:hAnsi="Verdana"/>
          <w:sz w:val="18"/>
          <w:szCs w:val="18"/>
        </w:rPr>
        <w:t>een wens van de wetgever</w:t>
      </w:r>
      <w:r>
        <w:rPr>
          <w:rFonts w:ascii="Verdana" w:hAnsi="Verdana"/>
          <w:sz w:val="18"/>
          <w:szCs w:val="18"/>
        </w:rPr>
        <w:t xml:space="preserve">? Zo ja, </w:t>
      </w:r>
      <w:r w:rsidR="00052DED">
        <w:rPr>
          <w:rFonts w:ascii="Verdana" w:hAnsi="Verdana"/>
          <w:sz w:val="18"/>
          <w:szCs w:val="18"/>
        </w:rPr>
        <w:t>waarom wordt nergens toegelicht waarom dit deelnemers beter zou beschermen? Resultaten uit het verleden (bij ABP), bieden daar in ieder geval geen bewijs voor. Integendeel.</w:t>
      </w:r>
      <w:r w:rsidR="00052DED">
        <w:rPr>
          <w:rStyle w:val="Voetnootmarkering"/>
          <w:rFonts w:ascii="Verdana" w:hAnsi="Verdana"/>
          <w:sz w:val="18"/>
          <w:szCs w:val="18"/>
        </w:rPr>
        <w:footnoteReference w:id="5"/>
      </w:r>
      <w:r w:rsidR="00E872EE">
        <w:rPr>
          <w:rFonts w:ascii="Verdana" w:hAnsi="Verdana"/>
          <w:sz w:val="18"/>
          <w:szCs w:val="18"/>
        </w:rPr>
        <w:t xml:space="preserve"> </w:t>
      </w:r>
      <w:r>
        <w:rPr>
          <w:rFonts w:ascii="Verdana" w:hAnsi="Verdana"/>
          <w:sz w:val="18"/>
          <w:szCs w:val="18"/>
        </w:rPr>
        <w:t xml:space="preserve">Bij wie kunnen deelnemers straks terecht als </w:t>
      </w:r>
      <w:r w:rsidR="00D21661">
        <w:rPr>
          <w:rFonts w:ascii="Verdana" w:hAnsi="Verdana"/>
          <w:sz w:val="18"/>
          <w:szCs w:val="18"/>
        </w:rPr>
        <w:t xml:space="preserve">de overheersende rol van sociale partners voor hen </w:t>
      </w:r>
      <w:r w:rsidR="005D7D22">
        <w:rPr>
          <w:rFonts w:ascii="Verdana" w:hAnsi="Verdana"/>
          <w:sz w:val="18"/>
          <w:szCs w:val="18"/>
        </w:rPr>
        <w:t xml:space="preserve">(financieel) </w:t>
      </w:r>
      <w:r w:rsidR="00D21661">
        <w:rPr>
          <w:rFonts w:ascii="Verdana" w:hAnsi="Verdana"/>
          <w:sz w:val="18"/>
          <w:szCs w:val="18"/>
        </w:rPr>
        <w:t xml:space="preserve">verkeerd uitpakt of niet aansluit bij eigen </w:t>
      </w:r>
      <w:r w:rsidR="005D7D22">
        <w:rPr>
          <w:rFonts w:ascii="Verdana" w:hAnsi="Verdana"/>
          <w:sz w:val="18"/>
          <w:szCs w:val="18"/>
        </w:rPr>
        <w:t>(ris</w:t>
      </w:r>
      <w:r w:rsidR="00353FB6">
        <w:rPr>
          <w:rFonts w:ascii="Verdana" w:hAnsi="Verdana"/>
          <w:sz w:val="18"/>
          <w:szCs w:val="18"/>
        </w:rPr>
        <w:t>ico)</w:t>
      </w:r>
      <w:r w:rsidR="00D21661">
        <w:rPr>
          <w:rFonts w:ascii="Verdana" w:hAnsi="Verdana"/>
          <w:sz w:val="18"/>
          <w:szCs w:val="18"/>
        </w:rPr>
        <w:t xml:space="preserve">voorkeuren? </w:t>
      </w:r>
    </w:p>
    <w:p w14:paraId="02BB7405" w14:textId="5EC0720C" w:rsidR="007E1341" w:rsidRDefault="007E1341" w:rsidP="00ED6E70">
      <w:pPr>
        <w:spacing w:after="0" w:line="240" w:lineRule="atLeast"/>
        <w:rPr>
          <w:rFonts w:ascii="Verdana" w:hAnsi="Verdana"/>
          <w:sz w:val="18"/>
          <w:szCs w:val="18"/>
        </w:rPr>
      </w:pPr>
    </w:p>
    <w:p w14:paraId="17E41E4A" w14:textId="361946AC" w:rsidR="007E1341" w:rsidRDefault="007E1341" w:rsidP="00ED6E70">
      <w:pPr>
        <w:spacing w:after="0" w:line="240" w:lineRule="atLeast"/>
        <w:rPr>
          <w:rFonts w:ascii="Verdana" w:hAnsi="Verdana"/>
          <w:sz w:val="18"/>
          <w:szCs w:val="18"/>
        </w:rPr>
      </w:pPr>
      <w:r>
        <w:rPr>
          <w:rFonts w:ascii="Verdana" w:hAnsi="Verdana"/>
          <w:sz w:val="18"/>
          <w:szCs w:val="18"/>
        </w:rPr>
        <w:t>Op bestuurlijk niveau is het voor de LvOP-</w:t>
      </w:r>
      <w:r w:rsidR="001D6AD3">
        <w:rPr>
          <w:rFonts w:ascii="Verdana" w:hAnsi="Verdana"/>
          <w:sz w:val="18"/>
          <w:szCs w:val="18"/>
        </w:rPr>
        <w:t>commissie</w:t>
      </w:r>
      <w:r>
        <w:rPr>
          <w:rFonts w:ascii="Verdana" w:hAnsi="Verdana"/>
          <w:sz w:val="18"/>
          <w:szCs w:val="18"/>
        </w:rPr>
        <w:t xml:space="preserve"> onduidelijk waarom onder het nieuwe pensioencontract met de bijbehorende risicoverdeling werkgevers nog een plek in het bestuur van pensioenfondsen zouden moeten hebben. De premiehoogte wordt immers vastgesteld in overleg tussen sociale partners en voor het overige dragen werkgevers geen risico meer. Wat rechtvaardigt dan deelname van werkgevers aan het pensioenfondsbestuur?</w:t>
      </w:r>
    </w:p>
    <w:p w14:paraId="35A228DD" w14:textId="77777777" w:rsidR="00A97D31" w:rsidRDefault="00A97D31" w:rsidP="002234FE">
      <w:pPr>
        <w:spacing w:after="0" w:line="240" w:lineRule="atLeast"/>
        <w:rPr>
          <w:rFonts w:ascii="Verdana" w:hAnsi="Verdana"/>
          <w:sz w:val="18"/>
          <w:szCs w:val="18"/>
        </w:rPr>
      </w:pPr>
    </w:p>
    <w:p w14:paraId="790FA8C6" w14:textId="44037DFB" w:rsidR="002234FE" w:rsidRDefault="00993C29" w:rsidP="002234FE">
      <w:pPr>
        <w:spacing w:after="0" w:line="240" w:lineRule="atLeast"/>
        <w:rPr>
          <w:rFonts w:ascii="Verdana" w:hAnsi="Verdana"/>
          <w:sz w:val="18"/>
          <w:szCs w:val="18"/>
        </w:rPr>
      </w:pPr>
      <w:r>
        <w:rPr>
          <w:rFonts w:ascii="Verdana" w:hAnsi="Verdana"/>
          <w:b/>
          <w:bCs/>
          <w:sz w:val="18"/>
          <w:szCs w:val="18"/>
        </w:rPr>
        <w:t>Onevenwichtige gevolgen van de richtdekkingsgraad</w:t>
      </w:r>
    </w:p>
    <w:p w14:paraId="5504D1DC" w14:textId="70218048" w:rsidR="00993C29" w:rsidRDefault="00993C29" w:rsidP="002234FE">
      <w:pPr>
        <w:spacing w:after="0" w:line="240" w:lineRule="atLeast"/>
        <w:rPr>
          <w:rFonts w:ascii="Verdana" w:hAnsi="Verdana"/>
          <w:sz w:val="18"/>
          <w:szCs w:val="18"/>
        </w:rPr>
      </w:pPr>
      <w:r>
        <w:rPr>
          <w:rFonts w:ascii="Verdana" w:hAnsi="Verdana"/>
          <w:sz w:val="18"/>
          <w:szCs w:val="18"/>
        </w:rPr>
        <w:t xml:space="preserve">Het wetsvoorstel beschrijft dat een richtdekkingsgraad van ten minste </w:t>
      </w:r>
      <w:r w:rsidR="00D360F4">
        <w:rPr>
          <w:rFonts w:ascii="Verdana" w:hAnsi="Verdana"/>
          <w:sz w:val="18"/>
          <w:szCs w:val="18"/>
        </w:rPr>
        <w:t xml:space="preserve">95% moet worden bereikt op 1 januari 2026. Tevens beschrijft het wetsvoorstel dat een dekkingsgraad van 90% een uiterste grens vormt: als de dekkingsgraad onder de 90% komt, moeten maatregelen worden genomen waardoor de dekkingsgraad direct uitkomt op ten minste 90%. </w:t>
      </w:r>
    </w:p>
    <w:p w14:paraId="50432D5C" w14:textId="3C300F25" w:rsidR="00D360F4" w:rsidRDefault="00D360F4" w:rsidP="002234FE">
      <w:pPr>
        <w:spacing w:after="0" w:line="240" w:lineRule="atLeast"/>
        <w:rPr>
          <w:rFonts w:ascii="Verdana" w:hAnsi="Verdana"/>
          <w:sz w:val="18"/>
          <w:szCs w:val="18"/>
        </w:rPr>
      </w:pPr>
    </w:p>
    <w:p w14:paraId="56E9A159" w14:textId="2F5CDAB9" w:rsidR="00675E34" w:rsidRDefault="00D360F4" w:rsidP="00DA1115">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onderschrijft het belang van het stellen van dergelijke grenzen,</w:t>
      </w:r>
      <w:r w:rsidR="007E1341">
        <w:rPr>
          <w:rFonts w:ascii="Verdana" w:hAnsi="Verdana"/>
          <w:sz w:val="18"/>
          <w:szCs w:val="18"/>
        </w:rPr>
        <w:t xml:space="preserve"> </w:t>
      </w:r>
      <w:r>
        <w:rPr>
          <w:rFonts w:ascii="Verdana" w:hAnsi="Verdana"/>
          <w:sz w:val="18"/>
          <w:szCs w:val="18"/>
        </w:rPr>
        <w:t xml:space="preserve">maar wil wijzen op </w:t>
      </w:r>
      <w:r w:rsidR="00842FAE">
        <w:rPr>
          <w:rFonts w:ascii="Verdana" w:hAnsi="Verdana"/>
          <w:sz w:val="18"/>
          <w:szCs w:val="18"/>
        </w:rPr>
        <w:t xml:space="preserve">zowel het onlogische karakter van de argumentatie als </w:t>
      </w:r>
      <w:r>
        <w:rPr>
          <w:rFonts w:ascii="Verdana" w:hAnsi="Verdana"/>
          <w:sz w:val="18"/>
          <w:szCs w:val="18"/>
        </w:rPr>
        <w:t xml:space="preserve">de generatie-onevenwichtigheid van deze specifieke grenzen. </w:t>
      </w:r>
      <w:r w:rsidR="00842FAE">
        <w:rPr>
          <w:rFonts w:ascii="Verdana" w:hAnsi="Verdana"/>
          <w:sz w:val="18"/>
          <w:szCs w:val="18"/>
        </w:rPr>
        <w:t xml:space="preserve">Het transitie-ftk versoepelt de regels in de komende jaren. </w:t>
      </w:r>
      <w:r>
        <w:rPr>
          <w:rFonts w:ascii="Verdana" w:hAnsi="Verdana"/>
          <w:sz w:val="18"/>
          <w:szCs w:val="18"/>
        </w:rPr>
        <w:t>Tot het moment dat het nieuwe pensioencontract ingaat, blijven de toegezegde pensioenen van de huidige pensioengerechtigden ten minste nominaal worden uitgekeerd</w:t>
      </w:r>
      <w:r w:rsidR="00ED7AEB">
        <w:rPr>
          <w:rFonts w:ascii="Verdana" w:hAnsi="Verdana"/>
          <w:sz w:val="18"/>
          <w:szCs w:val="18"/>
        </w:rPr>
        <w:t xml:space="preserve"> zo lang de dekkingsgraad minimaal 90% bedraagt</w:t>
      </w:r>
      <w:r>
        <w:rPr>
          <w:rFonts w:ascii="Verdana" w:hAnsi="Verdana"/>
          <w:sz w:val="18"/>
          <w:szCs w:val="18"/>
        </w:rPr>
        <w:t>.</w:t>
      </w:r>
      <w:r w:rsidR="00842FAE">
        <w:rPr>
          <w:rFonts w:ascii="Verdana" w:hAnsi="Verdana"/>
          <w:sz w:val="18"/>
          <w:szCs w:val="18"/>
        </w:rPr>
        <w:t xml:space="preserve"> Dit is vreemd, want in het nieuwe stelsel </w:t>
      </w:r>
      <w:r w:rsidR="008E750D">
        <w:rPr>
          <w:rFonts w:ascii="Verdana" w:hAnsi="Verdana"/>
          <w:sz w:val="18"/>
          <w:szCs w:val="18"/>
        </w:rPr>
        <w:t xml:space="preserve">zullen </w:t>
      </w:r>
      <w:r w:rsidR="008E750D" w:rsidRPr="008E750D">
        <w:rPr>
          <w:rFonts w:ascii="Verdana" w:hAnsi="Verdana"/>
          <w:sz w:val="18"/>
          <w:szCs w:val="18"/>
        </w:rPr>
        <w:t xml:space="preserve">negatieve resultaten zich </w:t>
      </w:r>
      <w:r w:rsidR="008E750D">
        <w:rPr>
          <w:rFonts w:ascii="Verdana" w:hAnsi="Verdana"/>
          <w:sz w:val="18"/>
          <w:szCs w:val="18"/>
        </w:rPr>
        <w:t xml:space="preserve">juist </w:t>
      </w:r>
      <w:r w:rsidR="008E750D" w:rsidRPr="008E750D">
        <w:rPr>
          <w:rFonts w:ascii="Verdana" w:hAnsi="Verdana"/>
          <w:sz w:val="18"/>
          <w:szCs w:val="18"/>
        </w:rPr>
        <w:t xml:space="preserve">sneller vertalen in een </w:t>
      </w:r>
      <w:r w:rsidR="008E750D">
        <w:rPr>
          <w:rFonts w:ascii="Verdana" w:hAnsi="Verdana"/>
          <w:sz w:val="18"/>
          <w:szCs w:val="18"/>
        </w:rPr>
        <w:t>korting dan in de huidige uitkeringsregeling het geval is (p11 MvT)</w:t>
      </w:r>
      <w:r w:rsidR="00842FAE">
        <w:rPr>
          <w:rFonts w:ascii="Verdana" w:hAnsi="Verdana"/>
          <w:sz w:val="18"/>
          <w:szCs w:val="18"/>
        </w:rPr>
        <w:t>.</w:t>
      </w:r>
      <w:r>
        <w:rPr>
          <w:rFonts w:ascii="Verdana" w:hAnsi="Verdana"/>
          <w:sz w:val="18"/>
          <w:szCs w:val="18"/>
        </w:rPr>
        <w:t xml:space="preserve"> </w:t>
      </w:r>
      <w:r w:rsidR="00842FAE">
        <w:rPr>
          <w:rFonts w:ascii="Verdana" w:hAnsi="Verdana"/>
          <w:sz w:val="18"/>
          <w:szCs w:val="18"/>
        </w:rPr>
        <w:t xml:space="preserve">Hiermee wordt </w:t>
      </w:r>
      <w:r w:rsidR="008E750D">
        <w:rPr>
          <w:rFonts w:ascii="Verdana" w:hAnsi="Verdana"/>
          <w:sz w:val="18"/>
          <w:szCs w:val="18"/>
        </w:rPr>
        <w:t>dus eigenlijk</w:t>
      </w:r>
      <w:r w:rsidR="00AE2291">
        <w:rPr>
          <w:rFonts w:ascii="Verdana" w:hAnsi="Verdana"/>
          <w:sz w:val="18"/>
          <w:szCs w:val="18"/>
        </w:rPr>
        <w:t xml:space="preserve"> </w:t>
      </w:r>
      <w:r w:rsidR="00842FAE">
        <w:rPr>
          <w:rFonts w:ascii="Verdana" w:hAnsi="Verdana"/>
          <w:sz w:val="18"/>
          <w:szCs w:val="18"/>
        </w:rPr>
        <w:t xml:space="preserve">gesteld dat omdat </w:t>
      </w:r>
      <w:r w:rsidR="00842FAE" w:rsidRPr="00842FAE">
        <w:rPr>
          <w:rFonts w:ascii="Verdana" w:hAnsi="Verdana"/>
          <w:sz w:val="18"/>
          <w:szCs w:val="18"/>
        </w:rPr>
        <w:t xml:space="preserve">in </w:t>
      </w:r>
      <w:r w:rsidR="00675E34">
        <w:rPr>
          <w:rFonts w:ascii="Verdana" w:hAnsi="Verdana"/>
          <w:sz w:val="18"/>
          <w:szCs w:val="18"/>
        </w:rPr>
        <w:t>het</w:t>
      </w:r>
      <w:r w:rsidR="00675E34" w:rsidRPr="00842FAE">
        <w:rPr>
          <w:rFonts w:ascii="Verdana" w:hAnsi="Verdana"/>
          <w:sz w:val="18"/>
          <w:szCs w:val="18"/>
        </w:rPr>
        <w:t xml:space="preserve"> </w:t>
      </w:r>
      <w:r w:rsidR="00842FAE" w:rsidRPr="00842FAE">
        <w:rPr>
          <w:rFonts w:ascii="Verdana" w:hAnsi="Verdana"/>
          <w:sz w:val="18"/>
          <w:szCs w:val="18"/>
        </w:rPr>
        <w:t xml:space="preserve">nieuwe </w:t>
      </w:r>
      <w:r w:rsidR="00400804">
        <w:rPr>
          <w:rFonts w:ascii="Verdana" w:hAnsi="Verdana"/>
          <w:sz w:val="18"/>
          <w:szCs w:val="18"/>
        </w:rPr>
        <w:t>contract</w:t>
      </w:r>
      <w:r w:rsidR="00842FAE" w:rsidRPr="00842FAE">
        <w:rPr>
          <w:rFonts w:ascii="Verdana" w:hAnsi="Verdana"/>
          <w:sz w:val="18"/>
          <w:szCs w:val="18"/>
        </w:rPr>
        <w:t xml:space="preserve"> de regels ‘soepeler’</w:t>
      </w:r>
      <w:r w:rsidR="00842FAE">
        <w:rPr>
          <w:rFonts w:ascii="Verdana" w:hAnsi="Verdana"/>
          <w:sz w:val="18"/>
          <w:szCs w:val="18"/>
        </w:rPr>
        <w:t xml:space="preserve"> zijn</w:t>
      </w:r>
      <w:r w:rsidR="00842FAE" w:rsidRPr="00842FAE">
        <w:rPr>
          <w:rFonts w:ascii="Verdana" w:hAnsi="Verdana"/>
          <w:sz w:val="18"/>
          <w:szCs w:val="18"/>
        </w:rPr>
        <w:t xml:space="preserve">, </w:t>
      </w:r>
      <w:r w:rsidR="00842FAE">
        <w:rPr>
          <w:rFonts w:ascii="Verdana" w:hAnsi="Verdana"/>
          <w:sz w:val="18"/>
          <w:szCs w:val="18"/>
        </w:rPr>
        <w:t>dat dan dus</w:t>
      </w:r>
      <w:r w:rsidR="00842FAE" w:rsidRPr="00842FAE">
        <w:rPr>
          <w:rFonts w:ascii="Verdana" w:hAnsi="Verdana"/>
          <w:sz w:val="18"/>
          <w:szCs w:val="18"/>
        </w:rPr>
        <w:t xml:space="preserve"> in de aanloop ernaartoe ook al een beetje</w:t>
      </w:r>
      <w:r w:rsidR="00842FAE">
        <w:rPr>
          <w:rFonts w:ascii="Verdana" w:hAnsi="Verdana"/>
          <w:sz w:val="18"/>
          <w:szCs w:val="18"/>
        </w:rPr>
        <w:t xml:space="preserve"> mag</w:t>
      </w:r>
      <w:r w:rsidR="00842FAE" w:rsidRPr="00842FAE">
        <w:rPr>
          <w:rFonts w:ascii="Verdana" w:hAnsi="Verdana"/>
          <w:sz w:val="18"/>
          <w:szCs w:val="18"/>
        </w:rPr>
        <w:t>.</w:t>
      </w:r>
      <w:r w:rsidR="00842FAE">
        <w:rPr>
          <w:rFonts w:ascii="Verdana" w:hAnsi="Verdana"/>
          <w:sz w:val="18"/>
          <w:szCs w:val="18"/>
        </w:rPr>
        <w:t xml:space="preserve"> </w:t>
      </w:r>
      <w:r w:rsidR="00B247C9">
        <w:rPr>
          <w:rFonts w:ascii="Verdana" w:hAnsi="Verdana"/>
          <w:sz w:val="18"/>
          <w:szCs w:val="18"/>
        </w:rPr>
        <w:t xml:space="preserve">Als je echter </w:t>
      </w:r>
      <w:r w:rsidR="008E750D">
        <w:rPr>
          <w:rFonts w:ascii="Verdana" w:hAnsi="Verdana"/>
          <w:sz w:val="18"/>
          <w:szCs w:val="18"/>
        </w:rPr>
        <w:t xml:space="preserve">- </w:t>
      </w:r>
      <w:r w:rsidR="00B247C9">
        <w:rPr>
          <w:rFonts w:ascii="Verdana" w:hAnsi="Verdana"/>
          <w:sz w:val="18"/>
          <w:szCs w:val="18"/>
        </w:rPr>
        <w:t>in tegenstelling tot het nieuwe stelsel</w:t>
      </w:r>
      <w:r w:rsidR="00842FAE" w:rsidRPr="00842FAE">
        <w:rPr>
          <w:rFonts w:ascii="Verdana" w:hAnsi="Verdana"/>
          <w:sz w:val="18"/>
          <w:szCs w:val="18"/>
        </w:rPr>
        <w:t xml:space="preserve"> </w:t>
      </w:r>
      <w:r w:rsidR="008E750D">
        <w:rPr>
          <w:rFonts w:ascii="Verdana" w:hAnsi="Verdana"/>
          <w:sz w:val="18"/>
          <w:szCs w:val="18"/>
        </w:rPr>
        <w:t xml:space="preserve">- </w:t>
      </w:r>
      <w:r w:rsidR="00842FAE" w:rsidRPr="00842FAE">
        <w:rPr>
          <w:rFonts w:ascii="Verdana" w:hAnsi="Verdana"/>
          <w:sz w:val="18"/>
          <w:szCs w:val="18"/>
        </w:rPr>
        <w:t xml:space="preserve">in het huidige stelsel de parameters versoepelt, tref je generaties. Dat is een essentieel verschil. </w:t>
      </w:r>
      <w:r>
        <w:rPr>
          <w:rFonts w:ascii="Verdana" w:hAnsi="Verdana"/>
          <w:sz w:val="18"/>
          <w:szCs w:val="18"/>
        </w:rPr>
        <w:t xml:space="preserve">In de huidige situatie – althans bij het ABP – betekent dit dat de actieven </w:t>
      </w:r>
      <w:r w:rsidR="00731D3D">
        <w:rPr>
          <w:rFonts w:ascii="Verdana" w:hAnsi="Verdana"/>
          <w:sz w:val="18"/>
          <w:szCs w:val="18"/>
        </w:rPr>
        <w:t xml:space="preserve">blijven </w:t>
      </w:r>
      <w:r>
        <w:rPr>
          <w:rFonts w:ascii="Verdana" w:hAnsi="Verdana"/>
          <w:sz w:val="18"/>
          <w:szCs w:val="18"/>
        </w:rPr>
        <w:t>meebetalen aan de ondergefinancierde pensioenen van de huidige pensioengerechtigden. Er is sprake van een overdracht van huidige actieven naar huidige gepensioneerden, die het opgebouwde pensioen van de huidige actieven aantast. De LvOP-</w:t>
      </w:r>
      <w:r w:rsidR="001D6AD3">
        <w:rPr>
          <w:rFonts w:ascii="Verdana" w:hAnsi="Verdana"/>
          <w:sz w:val="18"/>
          <w:szCs w:val="18"/>
        </w:rPr>
        <w:t>commissie</w:t>
      </w:r>
      <w:r>
        <w:rPr>
          <w:rFonts w:ascii="Verdana" w:hAnsi="Verdana"/>
          <w:sz w:val="18"/>
          <w:szCs w:val="18"/>
        </w:rPr>
        <w:t xml:space="preserve"> is van mening dat dit onevenwichtig is. In dit licht pleit de LvOP-</w:t>
      </w:r>
      <w:r w:rsidR="001D6AD3">
        <w:rPr>
          <w:rFonts w:ascii="Verdana" w:hAnsi="Verdana"/>
          <w:sz w:val="18"/>
          <w:szCs w:val="18"/>
        </w:rPr>
        <w:t>commissie</w:t>
      </w:r>
      <w:r>
        <w:rPr>
          <w:rFonts w:ascii="Verdana" w:hAnsi="Verdana"/>
          <w:sz w:val="18"/>
          <w:szCs w:val="18"/>
        </w:rPr>
        <w:t xml:space="preserve"> dan ook voor een hogere ondergrens dan nu in het wetsvoorstel wordt genoemd.</w:t>
      </w:r>
      <w:r w:rsidR="00B247C9" w:rsidRPr="00B247C9">
        <w:t xml:space="preserve"> </w:t>
      </w:r>
      <w:r w:rsidR="00DA1115">
        <w:t>De LvOP-</w:t>
      </w:r>
      <w:r w:rsidR="001D6AD3">
        <w:t>commissie</w:t>
      </w:r>
      <w:r w:rsidR="00DA1115">
        <w:t xml:space="preserve"> sluit zich aan bij de bijdrage van prof</w:t>
      </w:r>
      <w:r w:rsidR="00675E34">
        <w:t>essoren Van</w:t>
      </w:r>
      <w:r w:rsidR="00DA1115">
        <w:t xml:space="preserve"> Ewijk en Nijman</w:t>
      </w:r>
      <w:r w:rsidR="00DA1115">
        <w:rPr>
          <w:rStyle w:val="Voetnootmarkering"/>
        </w:rPr>
        <w:footnoteReference w:id="6"/>
      </w:r>
      <w:r w:rsidR="00DA1115">
        <w:t xml:space="preserve"> die erop wijzen dat </w:t>
      </w:r>
      <w:r w:rsidR="00DA1115">
        <w:rPr>
          <w:rFonts w:ascii="Verdana" w:hAnsi="Verdana"/>
          <w:sz w:val="18"/>
          <w:szCs w:val="18"/>
        </w:rPr>
        <w:t>v</w:t>
      </w:r>
      <w:r w:rsidR="00B247C9" w:rsidRPr="00B247C9">
        <w:rPr>
          <w:rFonts w:ascii="Verdana" w:hAnsi="Verdana"/>
          <w:sz w:val="18"/>
          <w:szCs w:val="18"/>
        </w:rPr>
        <w:t>oorkomen zou moeten worden dat tekorten in het huidige stelsel worden doorgeschoven</w:t>
      </w:r>
      <w:r w:rsidR="007E1341">
        <w:rPr>
          <w:rFonts w:ascii="Verdana" w:hAnsi="Verdana"/>
          <w:sz w:val="18"/>
          <w:szCs w:val="18"/>
        </w:rPr>
        <w:t xml:space="preserve"> naar de toekomst</w:t>
      </w:r>
      <w:r w:rsidR="00B247C9" w:rsidRPr="00B247C9">
        <w:rPr>
          <w:rFonts w:ascii="Verdana" w:hAnsi="Verdana"/>
          <w:sz w:val="18"/>
          <w:szCs w:val="18"/>
        </w:rPr>
        <w:t xml:space="preserve"> en het draagvlak voor het nieuwe contract wordt ondermijnd door voorspelbare kortingen in de eerste jaren van het nieuwe contract. De effecten van de tot 2026 teruglopende periode waarover schokken kunnen worden uitgesmeerd zouden inzichtelijk moeten zijn. De teruglopende uitsmeerperiode (in 2024 schokken in twee jaar </w:t>
      </w:r>
      <w:r w:rsidR="00B247C9" w:rsidRPr="00B247C9">
        <w:rPr>
          <w:rFonts w:ascii="Verdana" w:hAnsi="Verdana"/>
          <w:sz w:val="18"/>
          <w:szCs w:val="18"/>
        </w:rPr>
        <w:lastRenderedPageBreak/>
        <w:t>verwerken) is strijdig met het adagium om in het transitie</w:t>
      </w:r>
      <w:r w:rsidR="007E1341">
        <w:rPr>
          <w:rFonts w:ascii="Verdana" w:hAnsi="Verdana"/>
          <w:sz w:val="18"/>
          <w:szCs w:val="18"/>
        </w:rPr>
        <w:t>-ftk</w:t>
      </w:r>
      <w:r w:rsidR="00B247C9" w:rsidRPr="00B247C9">
        <w:rPr>
          <w:rFonts w:ascii="Verdana" w:hAnsi="Verdana"/>
          <w:sz w:val="18"/>
          <w:szCs w:val="18"/>
        </w:rPr>
        <w:t xml:space="preserve"> al zo veel mogelijk aan te sluiten bij de regels van het nieuwe contract</w:t>
      </w:r>
      <w:r w:rsidR="00AE2291">
        <w:rPr>
          <w:rFonts w:ascii="Verdana" w:hAnsi="Verdana"/>
          <w:sz w:val="18"/>
          <w:szCs w:val="18"/>
        </w:rPr>
        <w:t>.</w:t>
      </w:r>
    </w:p>
    <w:p w14:paraId="2E25EC9E" w14:textId="77777777" w:rsidR="00675E34" w:rsidRDefault="00675E34" w:rsidP="00DA1115">
      <w:pPr>
        <w:spacing w:after="0" w:line="240" w:lineRule="atLeast"/>
        <w:rPr>
          <w:rFonts w:ascii="Verdana" w:hAnsi="Verdana"/>
          <w:sz w:val="18"/>
          <w:szCs w:val="18"/>
        </w:rPr>
      </w:pPr>
    </w:p>
    <w:p w14:paraId="7BF02E05" w14:textId="5BDFA766" w:rsidR="00D360F4" w:rsidRDefault="00D360F4" w:rsidP="00DA1115">
      <w:pPr>
        <w:spacing w:after="0" w:line="240" w:lineRule="atLeast"/>
        <w:rPr>
          <w:rFonts w:ascii="Verdana" w:hAnsi="Verdana"/>
          <w:sz w:val="18"/>
          <w:szCs w:val="18"/>
        </w:rPr>
      </w:pPr>
      <w:r>
        <w:rPr>
          <w:rFonts w:ascii="Verdana" w:hAnsi="Verdana"/>
          <w:b/>
          <w:bCs/>
          <w:sz w:val="18"/>
          <w:szCs w:val="18"/>
        </w:rPr>
        <w:t>Overige punten</w:t>
      </w:r>
    </w:p>
    <w:p w14:paraId="5ACF0F51" w14:textId="604C3C7B" w:rsidR="002F2185" w:rsidRDefault="002F2185" w:rsidP="002234FE">
      <w:pPr>
        <w:spacing w:after="0" w:line="240" w:lineRule="atLeast"/>
        <w:rPr>
          <w:rFonts w:ascii="Verdana" w:hAnsi="Verdana"/>
          <w:sz w:val="18"/>
          <w:szCs w:val="18"/>
        </w:rPr>
      </w:pPr>
      <w:r>
        <w:rPr>
          <w:rFonts w:ascii="Verdana" w:hAnsi="Verdana"/>
          <w:sz w:val="18"/>
          <w:szCs w:val="18"/>
        </w:rPr>
        <w:t>Op pagina 91 van de MvT wordt met betrekking tot de financiering van compensatie gesteld dat “de financiering telkens geregeld [moet] zijn voordat compensatie toegekend kan worden”. Wat verstaat de wetgever hier onder ‘geregeld zijn’</w:t>
      </w:r>
      <w:r w:rsidR="007E1341">
        <w:rPr>
          <w:rFonts w:ascii="Verdana" w:hAnsi="Verdana"/>
          <w:sz w:val="18"/>
          <w:szCs w:val="18"/>
        </w:rPr>
        <w:t>?</w:t>
      </w:r>
      <w:r>
        <w:rPr>
          <w:rFonts w:ascii="Verdana" w:hAnsi="Verdana"/>
          <w:sz w:val="18"/>
          <w:szCs w:val="18"/>
        </w:rPr>
        <w:t xml:space="preserve"> De ervaring van</w:t>
      </w:r>
      <w:r w:rsidR="007E1341">
        <w:rPr>
          <w:rFonts w:ascii="Verdana" w:hAnsi="Verdana"/>
          <w:sz w:val="18"/>
          <w:szCs w:val="18"/>
        </w:rPr>
        <w:t xml:space="preserve"> de</w:t>
      </w:r>
      <w:r>
        <w:rPr>
          <w:rFonts w:ascii="Verdana" w:hAnsi="Verdana"/>
          <w:sz w:val="18"/>
          <w:szCs w:val="18"/>
        </w:rPr>
        <w:t xml:space="preserve"> LvOP</w:t>
      </w:r>
      <w:r w:rsidR="00854C49">
        <w:rPr>
          <w:rFonts w:ascii="Verdana" w:hAnsi="Verdana"/>
          <w:sz w:val="18"/>
          <w:szCs w:val="18"/>
        </w:rPr>
        <w:t>-</w:t>
      </w:r>
      <w:r w:rsidR="001D6AD3">
        <w:rPr>
          <w:rFonts w:ascii="Verdana" w:hAnsi="Verdana"/>
          <w:sz w:val="18"/>
          <w:szCs w:val="18"/>
        </w:rPr>
        <w:t>commissie</w:t>
      </w:r>
      <w:r>
        <w:rPr>
          <w:rFonts w:ascii="Verdana" w:hAnsi="Verdana"/>
          <w:sz w:val="18"/>
          <w:szCs w:val="18"/>
        </w:rPr>
        <w:t xml:space="preserve"> bij het ABP met de VPL</w:t>
      </w:r>
      <w:r w:rsidR="00854C49">
        <w:rPr>
          <w:rFonts w:ascii="Verdana" w:hAnsi="Verdana"/>
          <w:sz w:val="18"/>
          <w:szCs w:val="18"/>
        </w:rPr>
        <w:t>-</w:t>
      </w:r>
      <w:r>
        <w:rPr>
          <w:rFonts w:ascii="Verdana" w:hAnsi="Verdana"/>
          <w:sz w:val="18"/>
          <w:szCs w:val="18"/>
        </w:rPr>
        <w:t>regeling op dit vlak is dat de afgelopen 15 jaar hiervoor afspraken zijn gemaakt, die destijds als een evenwichtig totaalpakket werden gepresenteerd</w:t>
      </w:r>
      <w:r w:rsidR="00854C49">
        <w:rPr>
          <w:rFonts w:ascii="Verdana" w:hAnsi="Verdana"/>
          <w:sz w:val="18"/>
          <w:szCs w:val="18"/>
        </w:rPr>
        <w:t>,</w:t>
      </w:r>
      <w:r>
        <w:rPr>
          <w:rFonts w:ascii="Verdana" w:hAnsi="Verdana"/>
          <w:sz w:val="18"/>
          <w:szCs w:val="18"/>
        </w:rPr>
        <w:t xml:space="preserve"> maar dat zowel op voorhand als gedurende de looptijd in de praktijk niet zijn gebleken, en jongere actieve deelnemers zwaar hebben benadeeld.</w:t>
      </w:r>
      <w:r w:rsidR="00854C49">
        <w:rPr>
          <w:rFonts w:ascii="Verdana" w:hAnsi="Verdana"/>
          <w:sz w:val="18"/>
          <w:szCs w:val="18"/>
        </w:rPr>
        <w:t xml:space="preserve"> De LvOP-</w:t>
      </w:r>
      <w:r w:rsidR="001D6AD3">
        <w:rPr>
          <w:rFonts w:ascii="Verdana" w:hAnsi="Verdana"/>
          <w:sz w:val="18"/>
          <w:szCs w:val="18"/>
        </w:rPr>
        <w:t>commissie</w:t>
      </w:r>
      <w:r w:rsidR="00854C49">
        <w:rPr>
          <w:rFonts w:ascii="Verdana" w:hAnsi="Verdana"/>
          <w:sz w:val="18"/>
          <w:szCs w:val="18"/>
        </w:rPr>
        <w:t xml:space="preserve"> roept derhalve op nader uit te werken wat de werkgever verstaat onder ‘geregeld zijn’.</w:t>
      </w:r>
    </w:p>
    <w:p w14:paraId="2B5F577E" w14:textId="77777777" w:rsidR="002F2185" w:rsidRDefault="002F2185" w:rsidP="002234FE">
      <w:pPr>
        <w:spacing w:after="0" w:line="240" w:lineRule="atLeast"/>
        <w:rPr>
          <w:rFonts w:ascii="Verdana" w:hAnsi="Verdana"/>
          <w:sz w:val="18"/>
          <w:szCs w:val="18"/>
        </w:rPr>
      </w:pPr>
    </w:p>
    <w:p w14:paraId="0C4015E7" w14:textId="4334C750" w:rsidR="00D360F4" w:rsidRDefault="005308CB" w:rsidP="002234FE">
      <w:pPr>
        <w:spacing w:after="0" w:line="240" w:lineRule="atLeast"/>
        <w:rPr>
          <w:rFonts w:ascii="Verdana" w:hAnsi="Verdana"/>
          <w:sz w:val="18"/>
          <w:szCs w:val="18"/>
        </w:rPr>
      </w:pPr>
      <w:r>
        <w:rPr>
          <w:rFonts w:ascii="Verdana" w:hAnsi="Verdana"/>
          <w:sz w:val="18"/>
          <w:szCs w:val="18"/>
        </w:rPr>
        <w:t xml:space="preserve">Op p113 van de MvT gaat het over de mogelijkheden </w:t>
      </w:r>
      <w:r w:rsidR="00ED7AEB">
        <w:rPr>
          <w:rFonts w:ascii="Verdana" w:hAnsi="Verdana"/>
          <w:sz w:val="18"/>
          <w:szCs w:val="18"/>
        </w:rPr>
        <w:t xml:space="preserve">die de pensioenuitvoerder heeft </w:t>
      </w:r>
      <w:r>
        <w:rPr>
          <w:rFonts w:ascii="Verdana" w:hAnsi="Verdana"/>
          <w:sz w:val="18"/>
          <w:szCs w:val="18"/>
        </w:rPr>
        <w:t>tot het verschaffen van informatie over de pensioenregeling. De MvT noemt hierbij drie mogelijkheden: actief schriftelijk verstrekken, actief elektronisch verstrekken en passief ter beschikking stellen. Pensioenuitvoerders krijgen met dit wetsvoorstel de mogelijkheid te kiezen tussen deze drie vormen van informatieverschaffing</w:t>
      </w:r>
      <w:r w:rsidR="00ED7AEB">
        <w:rPr>
          <w:rFonts w:ascii="Verdana" w:hAnsi="Verdana"/>
          <w:sz w:val="18"/>
          <w:szCs w:val="18"/>
        </w:rPr>
        <w:t>.</w:t>
      </w:r>
    </w:p>
    <w:p w14:paraId="033F553F" w14:textId="2FB6067D" w:rsidR="005308CB" w:rsidRDefault="005308CB" w:rsidP="002234FE">
      <w:pPr>
        <w:spacing w:after="0" w:line="240" w:lineRule="atLeast"/>
        <w:rPr>
          <w:rFonts w:ascii="Verdana" w:hAnsi="Verdana"/>
          <w:sz w:val="18"/>
          <w:szCs w:val="18"/>
        </w:rPr>
      </w:pPr>
    </w:p>
    <w:p w14:paraId="19E4A136" w14:textId="2AD4831F" w:rsidR="00D360F4" w:rsidRDefault="005308CB" w:rsidP="002234FE">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onderschrijft dat het belangrijk is dat de wijze van informatieverschaffing aansluit bij de wensen van de ontvanger van die informatie. De LvOP-</w:t>
      </w:r>
      <w:r w:rsidR="001D6AD3">
        <w:rPr>
          <w:rFonts w:ascii="Verdana" w:hAnsi="Verdana"/>
          <w:sz w:val="18"/>
          <w:szCs w:val="18"/>
        </w:rPr>
        <w:t>commissie</w:t>
      </w:r>
      <w:r>
        <w:rPr>
          <w:rFonts w:ascii="Verdana" w:hAnsi="Verdana"/>
          <w:sz w:val="18"/>
          <w:szCs w:val="18"/>
        </w:rPr>
        <w:t xml:space="preserve"> leest echter in de huidige formulering de mogelijkheid dat de pensioenuitvoerder alleen op verzoek van de deelnemer (passief) informatie verschaft. Dit zou ertoe kunnen leiden dat deelnemers die niet erg bezig zijn met hun pensioen – een meerderheid, vrezen wij – in de situatie kunnen komen dat zij nooit informatie van hun pensioenuitvoerder ontvangen. De LvOP-</w:t>
      </w:r>
      <w:r w:rsidR="001D6AD3">
        <w:rPr>
          <w:rFonts w:ascii="Verdana" w:hAnsi="Verdana"/>
          <w:sz w:val="18"/>
          <w:szCs w:val="18"/>
        </w:rPr>
        <w:t>commissie</w:t>
      </w:r>
      <w:r>
        <w:rPr>
          <w:rFonts w:ascii="Verdana" w:hAnsi="Verdana"/>
          <w:sz w:val="18"/>
          <w:szCs w:val="18"/>
        </w:rPr>
        <w:t xml:space="preserve"> hoopt dat zij de MvT op dit punt verkeerd begrijpen.</w:t>
      </w:r>
    </w:p>
    <w:p w14:paraId="4824FB1D" w14:textId="4DC25430" w:rsidR="00D360F4" w:rsidRDefault="00D360F4" w:rsidP="002234FE">
      <w:pPr>
        <w:spacing w:after="0" w:line="240" w:lineRule="atLeast"/>
        <w:rPr>
          <w:rFonts w:ascii="Verdana" w:hAnsi="Verdana"/>
          <w:sz w:val="18"/>
          <w:szCs w:val="18"/>
        </w:rPr>
      </w:pPr>
    </w:p>
    <w:p w14:paraId="3324884F" w14:textId="7FDC4CE0" w:rsidR="00D360F4" w:rsidRPr="00D360F4" w:rsidRDefault="00D360F4" w:rsidP="002234FE">
      <w:pPr>
        <w:spacing w:after="0" w:line="240" w:lineRule="atLeast"/>
        <w:rPr>
          <w:rFonts w:ascii="Verdana" w:hAnsi="Verdana"/>
          <w:b/>
          <w:bCs/>
          <w:sz w:val="18"/>
          <w:szCs w:val="18"/>
        </w:rPr>
      </w:pPr>
      <w:r>
        <w:rPr>
          <w:rFonts w:ascii="Verdana" w:hAnsi="Verdana"/>
          <w:b/>
          <w:bCs/>
          <w:sz w:val="18"/>
          <w:szCs w:val="18"/>
        </w:rPr>
        <w:t>Tot slot</w:t>
      </w:r>
    </w:p>
    <w:p w14:paraId="26031389" w14:textId="48F4F65B" w:rsidR="00644AD0" w:rsidRDefault="005308CB" w:rsidP="005308CB">
      <w:pPr>
        <w:spacing w:after="0" w:line="240" w:lineRule="atLeast"/>
        <w:rPr>
          <w:rFonts w:ascii="Verdana" w:hAnsi="Verdana"/>
          <w:sz w:val="18"/>
          <w:szCs w:val="18"/>
        </w:rPr>
      </w:pPr>
      <w:r>
        <w:rPr>
          <w:rFonts w:ascii="Verdana" w:hAnsi="Verdana"/>
          <w:sz w:val="18"/>
          <w:szCs w:val="18"/>
        </w:rPr>
        <w:t>De LvOP-</w:t>
      </w:r>
      <w:r w:rsidR="001D6AD3">
        <w:rPr>
          <w:rFonts w:ascii="Verdana" w:hAnsi="Verdana"/>
          <w:sz w:val="18"/>
          <w:szCs w:val="18"/>
        </w:rPr>
        <w:t>commissie</w:t>
      </w:r>
      <w:r>
        <w:rPr>
          <w:rFonts w:ascii="Verdana" w:hAnsi="Verdana"/>
          <w:sz w:val="18"/>
          <w:szCs w:val="18"/>
        </w:rPr>
        <w:t xml:space="preserve"> dankt de regering voor de mogelijkheid tot het indienen van deze reactie op de internetconsultatie. De LvOP-</w:t>
      </w:r>
      <w:r w:rsidR="001D6AD3">
        <w:rPr>
          <w:rFonts w:ascii="Verdana" w:hAnsi="Verdana"/>
          <w:sz w:val="18"/>
          <w:szCs w:val="18"/>
        </w:rPr>
        <w:t>commissie</w:t>
      </w:r>
      <w:r>
        <w:rPr>
          <w:rFonts w:ascii="Verdana" w:hAnsi="Verdana"/>
          <w:sz w:val="18"/>
          <w:szCs w:val="18"/>
        </w:rPr>
        <w:t xml:space="preserve"> hoopt dat de definitieve versie van het wetsvoorstel een betere en evenwichtigere borging van de belangen van </w:t>
      </w:r>
      <w:r>
        <w:rPr>
          <w:rFonts w:ascii="Verdana" w:hAnsi="Verdana"/>
          <w:i/>
          <w:iCs/>
          <w:sz w:val="18"/>
          <w:szCs w:val="18"/>
        </w:rPr>
        <w:t>alle</w:t>
      </w:r>
      <w:r>
        <w:rPr>
          <w:rFonts w:ascii="Verdana" w:hAnsi="Verdana"/>
          <w:sz w:val="18"/>
          <w:szCs w:val="18"/>
        </w:rPr>
        <w:t xml:space="preserve"> deelnemers zal bevatten.</w:t>
      </w:r>
    </w:p>
    <w:p w14:paraId="148EA2A5" w14:textId="6E777BA4" w:rsidR="005308CB" w:rsidRDefault="005308CB" w:rsidP="005308CB">
      <w:pPr>
        <w:spacing w:after="0" w:line="240" w:lineRule="atLeast"/>
        <w:rPr>
          <w:rFonts w:ascii="Verdana" w:hAnsi="Verdana"/>
          <w:sz w:val="18"/>
          <w:szCs w:val="18"/>
        </w:rPr>
      </w:pPr>
    </w:p>
    <w:p w14:paraId="78CF2DCC" w14:textId="3F1CE89D" w:rsidR="00675E34" w:rsidRDefault="00675E34" w:rsidP="005308CB">
      <w:pPr>
        <w:spacing w:after="0" w:line="240" w:lineRule="atLeast"/>
        <w:rPr>
          <w:rFonts w:ascii="Verdana" w:hAnsi="Verdana"/>
          <w:sz w:val="18"/>
          <w:szCs w:val="18"/>
        </w:rPr>
      </w:pPr>
    </w:p>
    <w:p w14:paraId="5314B277" w14:textId="77777777" w:rsidR="00675E34" w:rsidRDefault="00675E34" w:rsidP="005308CB">
      <w:pPr>
        <w:spacing w:after="0" w:line="240" w:lineRule="atLeast"/>
        <w:rPr>
          <w:rFonts w:ascii="Verdana" w:hAnsi="Verdana"/>
          <w:sz w:val="18"/>
          <w:szCs w:val="18"/>
        </w:rPr>
      </w:pPr>
    </w:p>
    <w:p w14:paraId="58774324" w14:textId="3C1FEE8A" w:rsidR="005308CB" w:rsidRDefault="00675E34" w:rsidP="005308CB">
      <w:pPr>
        <w:spacing w:after="0" w:line="240" w:lineRule="atLeast"/>
        <w:rPr>
          <w:rFonts w:ascii="Verdana" w:hAnsi="Verdana"/>
          <w:sz w:val="18"/>
          <w:szCs w:val="18"/>
        </w:rPr>
      </w:pPr>
      <w:r>
        <w:rPr>
          <w:rFonts w:ascii="Verdana" w:hAnsi="Verdana"/>
          <w:sz w:val="18"/>
          <w:szCs w:val="18"/>
        </w:rPr>
        <w:t>LvOP-commissie beoordeling nieuwe pensioencontract</w:t>
      </w:r>
      <w:r w:rsidR="001D6AD3">
        <w:rPr>
          <w:rFonts w:ascii="Verdana" w:hAnsi="Verdana"/>
          <w:sz w:val="18"/>
          <w:szCs w:val="18"/>
        </w:rPr>
        <w:t>:</w:t>
      </w:r>
    </w:p>
    <w:p w14:paraId="300F0311" w14:textId="4AF58256" w:rsidR="001D6AD3" w:rsidRDefault="001D6AD3" w:rsidP="005308CB">
      <w:pPr>
        <w:spacing w:after="0" w:line="240" w:lineRule="atLeast"/>
        <w:rPr>
          <w:rFonts w:ascii="Verdana" w:hAnsi="Verdana"/>
          <w:sz w:val="18"/>
          <w:szCs w:val="18"/>
        </w:rPr>
      </w:pPr>
    </w:p>
    <w:p w14:paraId="4795EAF1" w14:textId="28F50AD1" w:rsidR="001D6AD3" w:rsidRDefault="001D6AD3" w:rsidP="005308CB">
      <w:pPr>
        <w:spacing w:after="0" w:line="240" w:lineRule="atLeast"/>
        <w:rPr>
          <w:rFonts w:ascii="Verdana" w:hAnsi="Verdana"/>
          <w:sz w:val="18"/>
          <w:szCs w:val="18"/>
        </w:rPr>
      </w:pPr>
      <w:r>
        <w:rPr>
          <w:rFonts w:ascii="Verdana" w:hAnsi="Verdana"/>
          <w:sz w:val="18"/>
          <w:szCs w:val="18"/>
        </w:rPr>
        <w:t>Arend Jan Boekestijn</w:t>
      </w:r>
    </w:p>
    <w:p w14:paraId="5BACBF9A" w14:textId="56BB142C" w:rsidR="001D6AD3" w:rsidRDefault="001D6AD3" w:rsidP="005308CB">
      <w:pPr>
        <w:spacing w:after="0" w:line="240" w:lineRule="atLeast"/>
        <w:rPr>
          <w:rFonts w:ascii="Verdana" w:hAnsi="Verdana"/>
          <w:sz w:val="18"/>
          <w:szCs w:val="18"/>
        </w:rPr>
      </w:pPr>
      <w:r>
        <w:rPr>
          <w:rFonts w:ascii="Verdana" w:hAnsi="Verdana"/>
          <w:sz w:val="18"/>
          <w:szCs w:val="18"/>
        </w:rPr>
        <w:t>Sofie Faes</w:t>
      </w:r>
    </w:p>
    <w:p w14:paraId="6201C93A" w14:textId="33CFF3FA" w:rsidR="001D6AD3" w:rsidRDefault="001D6AD3" w:rsidP="005308CB">
      <w:pPr>
        <w:spacing w:after="0" w:line="240" w:lineRule="atLeast"/>
        <w:rPr>
          <w:rFonts w:ascii="Verdana" w:hAnsi="Verdana"/>
          <w:sz w:val="18"/>
          <w:szCs w:val="18"/>
        </w:rPr>
      </w:pPr>
      <w:r>
        <w:rPr>
          <w:rFonts w:ascii="Verdana" w:hAnsi="Verdana"/>
          <w:sz w:val="18"/>
          <w:szCs w:val="18"/>
        </w:rPr>
        <w:t>Jeffrey van Noortwijk</w:t>
      </w:r>
    </w:p>
    <w:p w14:paraId="4BCF9809" w14:textId="08BB2144" w:rsidR="001D6AD3" w:rsidRPr="005308CB" w:rsidRDefault="001D6AD3" w:rsidP="005308CB">
      <w:pPr>
        <w:spacing w:after="0" w:line="240" w:lineRule="atLeast"/>
        <w:rPr>
          <w:rFonts w:ascii="Verdana" w:hAnsi="Verdana"/>
          <w:sz w:val="18"/>
          <w:szCs w:val="18"/>
        </w:rPr>
      </w:pPr>
      <w:r>
        <w:rPr>
          <w:rFonts w:ascii="Verdana" w:hAnsi="Verdana"/>
          <w:sz w:val="18"/>
          <w:szCs w:val="18"/>
        </w:rPr>
        <w:t>Lyda den Hartog</w:t>
      </w:r>
    </w:p>
    <w:sectPr w:rsidR="001D6AD3" w:rsidRPr="005308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E4F7" w14:textId="77777777" w:rsidR="0089732B" w:rsidRDefault="0089732B" w:rsidP="00612FEE">
      <w:pPr>
        <w:spacing w:after="0" w:line="240" w:lineRule="auto"/>
      </w:pPr>
      <w:r>
        <w:separator/>
      </w:r>
    </w:p>
  </w:endnote>
  <w:endnote w:type="continuationSeparator" w:id="0">
    <w:p w14:paraId="48309C1B" w14:textId="77777777" w:rsidR="0089732B" w:rsidRDefault="0089732B" w:rsidP="0061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1825C" w14:textId="77777777" w:rsidR="0089732B" w:rsidRDefault="0089732B" w:rsidP="00612FEE">
      <w:pPr>
        <w:spacing w:after="0" w:line="240" w:lineRule="auto"/>
      </w:pPr>
      <w:r>
        <w:separator/>
      </w:r>
    </w:p>
  </w:footnote>
  <w:footnote w:type="continuationSeparator" w:id="0">
    <w:p w14:paraId="0A666EC6" w14:textId="77777777" w:rsidR="0089732B" w:rsidRDefault="0089732B" w:rsidP="00612FEE">
      <w:pPr>
        <w:spacing w:after="0" w:line="240" w:lineRule="auto"/>
      </w:pPr>
      <w:r>
        <w:continuationSeparator/>
      </w:r>
    </w:p>
  </w:footnote>
  <w:footnote w:id="1">
    <w:p w14:paraId="6D77CD32" w14:textId="086E2104" w:rsidR="00612FEE" w:rsidRDefault="00612FEE">
      <w:pPr>
        <w:pStyle w:val="Voetnoottekst"/>
      </w:pPr>
      <w:r>
        <w:rPr>
          <w:rStyle w:val="Voetnootmarkering"/>
        </w:rPr>
        <w:footnoteRef/>
      </w:r>
      <w:r>
        <w:t xml:space="preserve"> </w:t>
      </w:r>
      <w:r w:rsidRPr="00854C49">
        <w:rPr>
          <w:i/>
          <w:iCs/>
        </w:rPr>
        <w:t>PM</w:t>
      </w:r>
      <w:r>
        <w:t xml:space="preserve"> 2021/</w:t>
      </w:r>
      <w:r w:rsidR="007E1341">
        <w:t>21</w:t>
      </w:r>
      <w:r>
        <w:t xml:space="preserve"> M. Heemskerk, Kroniek pensioenrechtspraak 2020’.</w:t>
      </w:r>
    </w:p>
  </w:footnote>
  <w:footnote w:id="2">
    <w:p w14:paraId="5E0D243E" w14:textId="4158AA89" w:rsidR="00527E71" w:rsidRDefault="00527E71">
      <w:pPr>
        <w:pStyle w:val="Voetnoottekst"/>
      </w:pPr>
      <w:r>
        <w:rPr>
          <w:rStyle w:val="Voetnootmarkering"/>
        </w:rPr>
        <w:footnoteRef/>
      </w:r>
      <w:r>
        <w:t xml:space="preserve"> LvOP podcasts met Hans van Meerten</w:t>
      </w:r>
      <w:r w:rsidR="00507690">
        <w:t xml:space="preserve"> (november 2020)</w:t>
      </w:r>
      <w:r>
        <w:t xml:space="preserve">, te beluisteren via: </w:t>
      </w:r>
      <w:hyperlink r:id="rId1" w:history="1">
        <w:r w:rsidRPr="006B1CCB">
          <w:rPr>
            <w:rStyle w:val="Hyperlink"/>
          </w:rPr>
          <w:t>https://lvop.nl/podcast/3-over-juristerij-en-wat-europa-betekent-voor-je-pensioen-met-prof-hans-van-meerten-deel-1/</w:t>
        </w:r>
      </w:hyperlink>
      <w:r>
        <w:t xml:space="preserve"> en </w:t>
      </w:r>
      <w:hyperlink r:id="rId2" w:history="1">
        <w:r w:rsidRPr="006B1CCB">
          <w:rPr>
            <w:rStyle w:val="Hyperlink"/>
          </w:rPr>
          <w:t>https://lvop.nl/podcast/4-over-juristerij-en-wat-europa-kan-betekenen-voor-je-pensioen-met-prof-hans-van-meerten-deel-2/</w:t>
        </w:r>
      </w:hyperlink>
      <w:r>
        <w:t xml:space="preserve">. </w:t>
      </w:r>
    </w:p>
  </w:footnote>
  <w:footnote w:id="3">
    <w:p w14:paraId="171D067F" w14:textId="6CA17166" w:rsidR="00507690" w:rsidRPr="00A73FA0" w:rsidRDefault="00507690">
      <w:pPr>
        <w:pStyle w:val="Voetnoottekst"/>
      </w:pPr>
      <w:r>
        <w:rPr>
          <w:rStyle w:val="Voetnootmarkering"/>
        </w:rPr>
        <w:footnoteRef/>
      </w:r>
      <w:r w:rsidRPr="00507690">
        <w:t xml:space="preserve"> Hans </w:t>
      </w:r>
      <w:r w:rsidRPr="00854C49">
        <w:t>va</w:t>
      </w:r>
      <w:r w:rsidRPr="00507690">
        <w:t>n</w:t>
      </w:r>
      <w:r w:rsidRPr="00854C49">
        <w:t xml:space="preserve"> Meerten</w:t>
      </w:r>
      <w:r w:rsidRPr="00507690">
        <w:t xml:space="preserve">, Inbreng nadere punten pensioenakkoord (Contribution Pension Agreement) (November 13, 2020). </w:t>
      </w:r>
      <w:r w:rsidRPr="00A73FA0">
        <w:t>Available at SSRN: https://ssrn.com/abstract=3729953</w:t>
      </w:r>
      <w:r w:rsidRPr="00854C49">
        <w:t>.</w:t>
      </w:r>
    </w:p>
  </w:footnote>
  <w:footnote w:id="4">
    <w:p w14:paraId="2322C5AC" w14:textId="7FCDEE2E" w:rsidR="00ED6E70" w:rsidRDefault="00ED6E70">
      <w:pPr>
        <w:pStyle w:val="Voetnoottekst"/>
      </w:pPr>
      <w:r>
        <w:rPr>
          <w:rStyle w:val="Voetnootmarkering"/>
        </w:rPr>
        <w:footnoteRef/>
      </w:r>
      <w:r>
        <w:t xml:space="preserve"> </w:t>
      </w:r>
      <w:r w:rsidR="00A73FA0">
        <w:t xml:space="preserve">Advies </w:t>
      </w:r>
      <w:r>
        <w:t>R</w:t>
      </w:r>
      <w:r w:rsidR="00A73FA0">
        <w:t xml:space="preserve">aad </w:t>
      </w:r>
      <w:r>
        <w:t>v</w:t>
      </w:r>
      <w:r w:rsidR="00A73FA0">
        <w:t xml:space="preserve">an </w:t>
      </w:r>
      <w:r>
        <w:t>S</w:t>
      </w:r>
      <w:r w:rsidR="00A73FA0">
        <w:t xml:space="preserve">tate </w:t>
      </w:r>
      <w:r w:rsidR="00A73FA0" w:rsidRPr="00A73FA0">
        <w:t>W12.11.0460/III</w:t>
      </w:r>
      <w:r w:rsidR="00A73FA0">
        <w:t xml:space="preserve"> bij </w:t>
      </w:r>
      <w:r w:rsidR="00A73FA0" w:rsidRPr="00A73FA0">
        <w:t>Wet versterking bestuur pensioenfondsen</w:t>
      </w:r>
      <w:r w:rsidR="00A73FA0">
        <w:t xml:space="preserve"> </w:t>
      </w:r>
      <w:hyperlink r:id="rId3" w:history="1">
        <w:r w:rsidR="00A73FA0" w:rsidRPr="006B1CCB">
          <w:rPr>
            <w:rStyle w:val="Hyperlink"/>
          </w:rPr>
          <w:t>https://www.raadvanstate.nl/@61910/w12-11-0460-iii/</w:t>
        </w:r>
      </w:hyperlink>
      <w:r w:rsidR="00A73FA0">
        <w:t xml:space="preserve"> </w:t>
      </w:r>
    </w:p>
  </w:footnote>
  <w:footnote w:id="5">
    <w:p w14:paraId="67FD6A10" w14:textId="5C3EE443" w:rsidR="00052DED" w:rsidRDefault="00052DED">
      <w:pPr>
        <w:pStyle w:val="Voetnoottekst"/>
      </w:pPr>
      <w:r>
        <w:rPr>
          <w:rStyle w:val="Voetnootmarkering"/>
        </w:rPr>
        <w:footnoteRef/>
      </w:r>
      <w:r>
        <w:t xml:space="preserve"> Zie bijvoorbeeld: M. Pikaart, de Pensioenmythe </w:t>
      </w:r>
      <w:r w:rsidR="00B501AD">
        <w:t xml:space="preserve">(2011) </w:t>
      </w:r>
      <w:r>
        <w:t>en Wanbeleid, Algemeen Burgerlijk</w:t>
      </w:r>
      <w:r w:rsidR="00B501AD">
        <w:t xml:space="preserve"> (2015)</w:t>
      </w:r>
      <w:r>
        <w:t xml:space="preserve">. </w:t>
      </w:r>
    </w:p>
  </w:footnote>
  <w:footnote w:id="6">
    <w:p w14:paraId="0A1032F5" w14:textId="1E1C9343" w:rsidR="00DA1115" w:rsidRPr="00DA1115" w:rsidRDefault="00DA1115">
      <w:pPr>
        <w:pStyle w:val="Voetnoottekst"/>
      </w:pPr>
      <w:r>
        <w:rPr>
          <w:rStyle w:val="Voetnootmarkering"/>
        </w:rPr>
        <w:footnoteRef/>
      </w:r>
      <w:r>
        <w:t xml:space="preserve"> </w:t>
      </w:r>
      <w:hyperlink r:id="rId4" w:history="1">
        <w:r w:rsidRPr="006B1CCB">
          <w:rPr>
            <w:rStyle w:val="Hyperlink"/>
          </w:rPr>
          <w:t>https://www.internetconsultatie.nl/wettoekomstpensioenen/reactie/b7cdc279-162e-457d-859e-c0d5bceedb7c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42199"/>
    <w:multiLevelType w:val="hybridMultilevel"/>
    <w:tmpl w:val="47145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3633B1"/>
    <w:multiLevelType w:val="hybridMultilevel"/>
    <w:tmpl w:val="611C0ED0"/>
    <w:lvl w:ilvl="0" w:tplc="5AC8202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FE"/>
    <w:rsid w:val="00052DED"/>
    <w:rsid w:val="00070EF6"/>
    <w:rsid w:val="001D6AD3"/>
    <w:rsid w:val="002234FE"/>
    <w:rsid w:val="002B6A80"/>
    <w:rsid w:val="002E476C"/>
    <w:rsid w:val="002F2185"/>
    <w:rsid w:val="00353FB6"/>
    <w:rsid w:val="003B554C"/>
    <w:rsid w:val="003F7A95"/>
    <w:rsid w:val="00400804"/>
    <w:rsid w:val="00481D35"/>
    <w:rsid w:val="004D7093"/>
    <w:rsid w:val="004F3ED2"/>
    <w:rsid w:val="004F75F5"/>
    <w:rsid w:val="00507690"/>
    <w:rsid w:val="00527E71"/>
    <w:rsid w:val="005308CB"/>
    <w:rsid w:val="005B620A"/>
    <w:rsid w:val="005D7D22"/>
    <w:rsid w:val="0060610A"/>
    <w:rsid w:val="00612FEE"/>
    <w:rsid w:val="00644AD0"/>
    <w:rsid w:val="0065374F"/>
    <w:rsid w:val="0067549E"/>
    <w:rsid w:val="00675E34"/>
    <w:rsid w:val="00731D3D"/>
    <w:rsid w:val="0073535A"/>
    <w:rsid w:val="007D6FEB"/>
    <w:rsid w:val="007E1341"/>
    <w:rsid w:val="00842FAE"/>
    <w:rsid w:val="00846F12"/>
    <w:rsid w:val="00854C49"/>
    <w:rsid w:val="0089732B"/>
    <w:rsid w:val="008E750D"/>
    <w:rsid w:val="00993C29"/>
    <w:rsid w:val="00A443AD"/>
    <w:rsid w:val="00A73FA0"/>
    <w:rsid w:val="00A97D31"/>
    <w:rsid w:val="00AE2291"/>
    <w:rsid w:val="00B247C9"/>
    <w:rsid w:val="00B330EE"/>
    <w:rsid w:val="00B3542F"/>
    <w:rsid w:val="00B501AD"/>
    <w:rsid w:val="00B82076"/>
    <w:rsid w:val="00D21661"/>
    <w:rsid w:val="00D360F4"/>
    <w:rsid w:val="00DA1115"/>
    <w:rsid w:val="00E872EE"/>
    <w:rsid w:val="00EB5200"/>
    <w:rsid w:val="00ED6E70"/>
    <w:rsid w:val="00ED7AEB"/>
    <w:rsid w:val="00EE6564"/>
    <w:rsid w:val="00F0009E"/>
    <w:rsid w:val="00F0213F"/>
    <w:rsid w:val="00F34005"/>
    <w:rsid w:val="00FC2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C880"/>
  <w15:chartTrackingRefBased/>
  <w15:docId w15:val="{34181A5E-6F84-4757-BB85-59FF6316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34FE"/>
    <w:pPr>
      <w:ind w:left="720"/>
      <w:contextualSpacing/>
    </w:pPr>
  </w:style>
  <w:style w:type="paragraph" w:styleId="Voetnoottekst">
    <w:name w:val="footnote text"/>
    <w:basedOn w:val="Standaard"/>
    <w:link w:val="VoetnoottekstChar"/>
    <w:uiPriority w:val="99"/>
    <w:semiHidden/>
    <w:unhideWhenUsed/>
    <w:rsid w:val="00612F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12FEE"/>
    <w:rPr>
      <w:sz w:val="20"/>
      <w:szCs w:val="20"/>
    </w:rPr>
  </w:style>
  <w:style w:type="character" w:styleId="Voetnootmarkering">
    <w:name w:val="footnote reference"/>
    <w:basedOn w:val="Standaardalinea-lettertype"/>
    <w:uiPriority w:val="99"/>
    <w:semiHidden/>
    <w:unhideWhenUsed/>
    <w:rsid w:val="00612FEE"/>
    <w:rPr>
      <w:vertAlign w:val="superscript"/>
    </w:rPr>
  </w:style>
  <w:style w:type="character" w:styleId="Hyperlink">
    <w:name w:val="Hyperlink"/>
    <w:basedOn w:val="Standaardalinea-lettertype"/>
    <w:uiPriority w:val="99"/>
    <w:unhideWhenUsed/>
    <w:rsid w:val="00527E71"/>
    <w:rPr>
      <w:color w:val="0563C1" w:themeColor="hyperlink"/>
      <w:u w:val="single"/>
    </w:rPr>
  </w:style>
  <w:style w:type="character" w:styleId="Onopgelostemelding">
    <w:name w:val="Unresolved Mention"/>
    <w:basedOn w:val="Standaardalinea-lettertype"/>
    <w:uiPriority w:val="99"/>
    <w:semiHidden/>
    <w:unhideWhenUsed/>
    <w:rsid w:val="00527E71"/>
    <w:rPr>
      <w:color w:val="605E5C"/>
      <w:shd w:val="clear" w:color="auto" w:fill="E1DFDD"/>
    </w:rPr>
  </w:style>
  <w:style w:type="character" w:styleId="Verwijzingopmerking">
    <w:name w:val="annotation reference"/>
    <w:basedOn w:val="Standaardalinea-lettertype"/>
    <w:uiPriority w:val="99"/>
    <w:semiHidden/>
    <w:unhideWhenUsed/>
    <w:rsid w:val="00731D3D"/>
    <w:rPr>
      <w:sz w:val="16"/>
      <w:szCs w:val="16"/>
    </w:rPr>
  </w:style>
  <w:style w:type="paragraph" w:styleId="Tekstopmerking">
    <w:name w:val="annotation text"/>
    <w:basedOn w:val="Standaard"/>
    <w:link w:val="TekstopmerkingChar"/>
    <w:uiPriority w:val="99"/>
    <w:semiHidden/>
    <w:unhideWhenUsed/>
    <w:rsid w:val="00731D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1D3D"/>
    <w:rPr>
      <w:sz w:val="20"/>
      <w:szCs w:val="20"/>
    </w:rPr>
  </w:style>
  <w:style w:type="paragraph" w:styleId="Onderwerpvanopmerking">
    <w:name w:val="annotation subject"/>
    <w:basedOn w:val="Tekstopmerking"/>
    <w:next w:val="Tekstopmerking"/>
    <w:link w:val="OnderwerpvanopmerkingChar"/>
    <w:uiPriority w:val="99"/>
    <w:semiHidden/>
    <w:unhideWhenUsed/>
    <w:rsid w:val="00731D3D"/>
    <w:rPr>
      <w:b/>
      <w:bCs/>
    </w:rPr>
  </w:style>
  <w:style w:type="character" w:customStyle="1" w:styleId="OnderwerpvanopmerkingChar">
    <w:name w:val="Onderwerp van opmerking Char"/>
    <w:basedOn w:val="TekstopmerkingChar"/>
    <w:link w:val="Onderwerpvanopmerking"/>
    <w:uiPriority w:val="99"/>
    <w:semiHidden/>
    <w:rsid w:val="00731D3D"/>
    <w:rPr>
      <w:b/>
      <w:bCs/>
      <w:sz w:val="20"/>
      <w:szCs w:val="20"/>
    </w:rPr>
  </w:style>
  <w:style w:type="character" w:styleId="GevolgdeHyperlink">
    <w:name w:val="FollowedHyperlink"/>
    <w:basedOn w:val="Standaardalinea-lettertype"/>
    <w:uiPriority w:val="99"/>
    <w:semiHidden/>
    <w:unhideWhenUsed/>
    <w:rsid w:val="00DA1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advanstate.nl/@61910/w12-11-0460-iii/" TargetMode="External"/><Relationship Id="rId2" Type="http://schemas.openxmlformats.org/officeDocument/2006/relationships/hyperlink" Target="https://lvop.nl/podcast/4-over-juristerij-en-wat-europa-kan-betekenen-voor-je-pensioen-met-prof-hans-van-meerten-deel-2/" TargetMode="External"/><Relationship Id="rId1" Type="http://schemas.openxmlformats.org/officeDocument/2006/relationships/hyperlink" Target="https://lvop.nl/podcast/3-over-juristerij-en-wat-europa-betekent-voor-je-pensioen-met-prof-hans-van-meerten-deel-1/" TargetMode="External"/><Relationship Id="rId4" Type="http://schemas.openxmlformats.org/officeDocument/2006/relationships/hyperlink" Target="https://www.internetconsultatie.nl/wettoekomstpensioenen/reactie/b7cdc279-162e-457d-859e-c0d5bceedb7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794FE-A7D0-4BBA-B5D2-D4370AC4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2113</Words>
  <Characters>11625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Lyda den Hartog</dc:creator>
  <cp:keywords/>
  <dc:description/>
  <cp:lastModifiedBy>Lyda den Hartog</cp:lastModifiedBy>
  <cp:revision>3</cp:revision>
  <dcterms:created xsi:type="dcterms:W3CDTF">2021-02-11T20:15:00Z</dcterms:created>
  <dcterms:modified xsi:type="dcterms:W3CDTF">2021-02-11T20:33:00Z</dcterms:modified>
</cp:coreProperties>
</file>